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711F3B"/>
            <w:tcMar>
              <w:top w:w="320" w:type="dxa"/>
              <w:start w:w="300" w:type="dxa"/>
              <w:bottom w:w="320" w:type="dxa"/>
              <w:end w:w="300" w:type="dxa"/>
            </w:tcMar>
          </w:tcPr>
          <w:p>
            <w:r>
              <w:rPr>
                <w:rFonts w:ascii="Aptos" w:hAnsi="Aptos"/>
                <w:b/>
                <w:i w:val="0"/>
                <w:color w:val="F4DCD2"/>
                <w:sz w:val="22"/>
              </w:rPr>
              <w:t>PALESTRA 1</w:t>
            </w:r>
          </w:p>
          <w:p>
            <w:r>
              <w:rPr>
                <w:rFonts w:ascii="Aptos Display" w:hAnsi="Aptos Display"/>
                <w:b/>
                <w:i w:val="0"/>
                <w:color w:val="FFFFFF"/>
                <w:sz w:val="60"/>
              </w:rPr>
              <w:t>O panorama da violência e os marcos legais</w:t>
            </w:r>
          </w:p>
          <w:p>
            <w:r>
              <w:rPr>
                <w:rFonts w:ascii="Aptos" w:hAnsi="Aptos"/>
                <w:b w:val="0"/>
                <w:i w:val="0"/>
                <w:color w:val="FFFFFF"/>
                <w:sz w:val="30"/>
              </w:rPr>
              <w:t>Da invisibilidade privada à responsabilidade pública</w:t>
            </w:r>
          </w:p>
          <w:p>
            <w:pPr>
              <w:spacing w:before="1400"/>
            </w:pPr>
            <w:r>
              <w:rPr>
                <w:rFonts w:ascii="Aptos" w:hAnsi="Aptos"/>
                <w:b/>
                <w:i w:val="0"/>
                <w:color w:val="C59A42"/>
                <w:sz w:val="22"/>
              </w:rPr>
              <w:t>GUIA DE APRESENTAÇÃO E FACILITAÇÃO DO DEBATE</w:t>
            </w:r>
          </w:p>
          <w:p>
            <w:r>
              <w:rPr>
                <w:rFonts w:ascii="Aptos" w:hAnsi="Aptos"/>
                <w:b w:val="0"/>
                <w:i w:val="0"/>
                <w:color w:val="FFFFFF"/>
                <w:sz w:val="20"/>
              </w:rPr>
              <w:t>Módulo I · Evento de lançamento · COMESP</w:t>
            </w:r>
          </w:p>
        </w:tc>
      </w:tr>
    </w:tbl>
    <w:p/>
    <w:p>
      <w:pPr>
        <w:jc w:val="center"/>
      </w:pPr>
      <w:r>
        <w:rPr>
          <w:rFonts w:ascii="Aptos" w:hAnsi="Aptos"/>
          <w:b/>
          <w:i w:val="0"/>
          <w:color w:val="711F3B"/>
          <w:sz w:val="24"/>
        </w:rPr>
        <w:t>Programa Rede Preparada – Mulher Segura</w:t>
      </w:r>
    </w:p>
    <w:p>
      <w:pPr>
        <w:jc w:val="center"/>
      </w:pPr>
      <w:r>
        <w:rPr>
          <w:rFonts w:ascii="Aptos" w:hAnsi="Aptos"/>
          <w:b w:val="0"/>
          <w:i w:val="0"/>
          <w:color w:val="6C6669"/>
          <w:sz w:val="20"/>
        </w:rPr>
        <w:t>Elaboração e capacitação: LabSocial · 2026</w:t>
      </w:r>
    </w:p>
    <w:p>
      <w:r>
        <w:br w:type="page"/>
      </w:r>
    </w:p>
    <w:p>
      <w:pPr>
        <w:pStyle w:val="Heading1"/>
      </w:pPr>
      <w:r>
        <w:t>1. Sentido pedagógico da palestra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60 minutos de exposição, seguidos de 30 minutos de debate.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Público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Profissionais da Saúde, Assistência Social, Educação, Segurança Pública, Sistema de Justiça, gestão municipal e organizações da sociedade civil.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Propósito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Contextualizar a violência contra mulheres e meninas como violação de direitos humanos e traduzir conquistas históricas e marcos legais em deveres institucionais.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Resultado esperado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Que a rede reconheça a passagem do problema privado à responsabilidade pública e identifique garantias que ainda se interrompem nos territórios.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Tese central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Os marcos legais não encerram as lutas: transformam experiências nomeadas e reivindicações coletivas em direitos reconhecíveis, deveres exigíveis e omissões públicas passíveis de responsabilização.</w:t>
            </w:r>
          </w:p>
        </w:tc>
      </w:tr>
    </w:tbl>
    <w:p>
      <w:pPr>
        <w:pStyle w:val="Heading1"/>
      </w:pPr>
      <w:r>
        <w:t>2. Objetivos de aprendizagem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Relacionar dados, gênero e desigualdades estruturais sem confundir registros administrativos com prevalência.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Reconhecer movimentos feministas, movimentos de mulheres e conferências como forças produtoras de direitos e políticas públicas.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Situar CEDAW, Viena, Belém do Pará, o caso Maria da Penha, a Lei Maria da Penha e legislações correlatas.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Compreender por que um marco legal é fundador de novas garantias.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Traduzir direitos formais em práticas cotidianas de prevenção, acolhimento, proteção, reparação e não revitimização.</w:t>
      </w:r>
    </w:p>
    <w:p>
      <w:pPr>
        <w:pStyle w:val="Heading1"/>
      </w:pPr>
      <w:r>
        <w:t>3. Preparação da pessoa apresentadora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Revisar as notas de fala incorporadas ao PowerPoint e abrir previamente os links das fontes.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Confirmar se haverá profissionais de municípios rurais, litorâneos e metropolitanos para diversificar as interpelações.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Combinar com a mediação como serão registradas as contribuições sem identificar casos ou mulheres.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solicitar relatos pessoais. Informar que ninguém precisa se expor para participar.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Ter visível o fluxo local para acolhimento caso o conteúdo mobilize experiências de violência.</w:t>
      </w:r>
    </w:p>
    <w:p>
      <w:pPr>
        <w:pStyle w:val="Heading1"/>
      </w:pPr>
      <w:r>
        <w:t>4. Protocolo transversal de facilitação segura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Princípio orientador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A facilitação não fala no lugar das mulheres nem transforma experiências de violência em recurso pedagógico. Sua função é criar condições para uma reflexão institucional responsável, preservar a dignidade das pessoas participantes e converter o debate em questões de governança, cuidado, proteção e garantia de direitos.</w:t>
            </w:r>
          </w:p>
        </w:tc>
      </w:tr>
    </w:tbl>
    <w:p>
      <w:pPr>
        <w:pStyle w:val="Heading2"/>
      </w:pPr>
      <w:r>
        <w:t>4.1 Equipe mínima e responsabilidades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Facilitadora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Apresenta o propósito, sustenta os acordos, oferece os comandos, acompanha o tempo, acolhe divergências e realiza a síntese pedagógica.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Cofacilitação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Observa o clima do grupo, apoia a organização das falas, identifica necessidades de acessibilidade e acompanha discretamente quem precisar se retirar.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Relatoria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Registra apenas sínteses institucionais, sem nomes, municípios associados a fragilidades, serviços identificáveis ou informações de casos.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Referência de cuidado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Profissional previamente designada pela organização para acolhimento reservado e acionamento do fluxo local quando houver relato de risco atual.</w:t>
            </w:r>
          </w:p>
        </w:tc>
      </w:tr>
    </w:tbl>
    <w:p>
      <w:pPr>
        <w:pStyle w:val="Heading2"/>
      </w:pPr>
      <w:r>
        <w:t>4.2 Preparação do espaço e dos materiais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Confirmar com a organização quem exercerá a referência de cuidado e quais serviços poderão ser acionados durante o evento.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Conhecer saídas, espaço reservado, banheiros acessíveis e possibilidades de pausa ou participação sem fala pública.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Organizar grupos multiprofissionais de quatro a seis pessoas, evitando concentração de um único setor sempre que possível.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Preparar comandos impressos em fonte ampliada e painéis legíveis à distância; cores devem vir acompanhadas de palavras ou símbolos.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Disponibilizar formas oral, escrita e anônima de contribuição. Ninguém deve ser convocade a se expor para demonstrar aprendizagem.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Preparar três painéis intitulados Garantia · Barreira · Mudança necessária e cartões com exemplos de garantias apenas como apoio, sem induzir as respostas.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Combinar previamente como a síntese da Palestra 1 será entregue à pessoa responsável pela Palestra 2.</w:t>
      </w:r>
    </w:p>
    <w:p>
      <w:pPr>
        <w:pStyle w:val="Heading2"/>
      </w:pPr>
      <w:r>
        <w:t>4.3 Fala de abertura sugerida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Comando da facilitadora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“Esta atividade convida a refletir sobre práticas e responsabilidades institucionais. Não precisamos relatar experiências pessoais nem casos que permitam identificar mulheres, famílias, profissionais, serviços ou municípios. Cada pessoa pode participar falando, escrevendo ou apenas acompanhando. Se o tema mobilizar alguma necessidade de cuidado, haverá uma referência da organização disponível para acolhimento reservado.”</w:t>
            </w:r>
          </w:p>
        </w:tc>
      </w:tr>
    </w:tbl>
    <w:p>
      <w:pPr>
        <w:pStyle w:val="Heading2"/>
      </w:pPr>
      <w:r>
        <w:t>4.4 Acordos de participação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Falar a partir da função e da experiência institucional, sem representar toda uma categoria, município ou grupo de mulheres.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Criticar processos e condições de trabalho sem produzir exposição pública ou culpabilização individual.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disputar qual setor “faz mais”; identificar responsabilidades próprias, responsabilidades compartilhadas e vazios de governança.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completar situações pedagógicas com suposições, diagnósticos, julgamentos ou prescrições sem informação suficiente.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Preservar o direito ao silêncio, à pausa e à não exposição.</w:t>
      </w:r>
    </w:p>
    <w:p>
      <w:pPr>
        <w:pStyle w:val="Heading2"/>
      </w:pPr>
      <w:r>
        <w:t>4.5 Manejo de situações sensíveis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Relato pessoal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Agradecer a confiança, interromper detalhes identificáveis com cuidado e oferecer acolhimento reservado. Não explorar o relato em plenária.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Risco atual ou iminente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Acionar a referência de cuidado e o fluxo competente. A dinâmica não substitui avaliação profissional, atendimento ou providências legais.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Informação jurídica duvidosa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Não confirmar de improviso. Registrar a questão, indicar que será conferida em fonte oficial e retomar posteriormente.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Conflito entre setores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Reformular acusações como perguntas sobre atribuição, comunicação, recursos, governança e continuidade.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Fala culpabilizadora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Intervir sem humilhar: deslocar “por que ela não fez?” para “que riscos, barreiras e condições restringiram suas possibilidades?”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Silêncio ou baixa participação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Oferecer escrita individual, conversa em dupla ou contribuição anônima; não preencher o silêncio convocando relatos pessoais.</w:t>
            </w:r>
          </w:p>
        </w:tc>
      </w:tr>
    </w:tbl>
    <w:p>
      <w:pPr>
        <w:pStyle w:val="Heading2"/>
      </w:pPr>
      <w:r>
        <w:t>4.6 Registro, proteção de dados e uso posterior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Registrar ideias, não trajetórias pessoais. Não fotografar painéis que contenham informações identificáveis.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transformar o resultado em diagnóstico, ranking municipal ou avaliação de desempenho sem metodologia, validação e participação ampliada.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Separar achados da formação, hipóteses de trabalho e decisões efetivamente pactuadas.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Ao final, informar para que o registro será utilizado e quem ficará responsável por sua guarda e sistematização.</w:t>
      </w:r>
    </w:p>
    <w:p>
      <w:pPr>
        <w:pStyle w:val="Heading1"/>
      </w:pPr>
      <w:r>
        <w:t>5. Percurso de fala — 60 minutos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080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Tempo</w:t>
            </w:r>
          </w:p>
        </w:tc>
        <w:tc>
          <w:tcPr>
            <w:tcW w:type="dxa" w:w="936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Slides</w:t>
            </w:r>
          </w:p>
        </w:tc>
        <w:tc>
          <w:tcPr>
            <w:tcW w:type="dxa" w:w="2592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Função pedagógica</w:t>
            </w:r>
          </w:p>
        </w:tc>
        <w:tc>
          <w:tcPr>
            <w:tcW w:type="dxa" w:w="532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Orientação de fala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0–8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1–3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Fundamento e conceitos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Apresentar a violência de gênero como violação de direitos humanos e diferenciar as categorias sem transformar a abertura em aula jurídica.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8–20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4–6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Dados e território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Explicar os limites dos registros e interpretar Paraná e COMESP sem afirmar redução uniforme da violência.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20–28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7–8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Desigualdades e passagem ao público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Relacionar acesso à proteção a gênero, raça, classe, idade, deficiência, sexualidade, renda, cuidado e território.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28–40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9–10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Movimentos e conferências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Reconhecer direitos como conquistas produzidas por movimentos, participação e incidência política.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40–52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11–14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Marcos e garantias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Percorrer obrigações internacionais, caso Maria da Penha, política integral e leis correlatas organizadas por garantias.</w:t>
            </w:r>
          </w:p>
        </w:tc>
      </w:tr>
      <w:tr>
        <w:tc>
          <w:tcPr>
            <w:tcW w:type="dxa" w:w="10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52–58 min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15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Prevenção dos feminicídios</w:t>
            </w:r>
          </w:p>
        </w:tc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Apresentar prevenção primária, secundária e terciária e responsabilidades municipais.</w:t>
            </w:r>
          </w:p>
        </w:tc>
      </w:tr>
      <w:tr>
        <w:tc>
          <w:tcPr>
            <w:tcW w:type="dxa" w:w="1080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8"/>
              </w:rPr>
              <w:t>58–60 min</w:t>
            </w:r>
          </w:p>
        </w:tc>
        <w:tc>
          <w:tcPr>
            <w:tcW w:type="dxa" w:w="93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16</w:t>
            </w:r>
          </w:p>
        </w:tc>
        <w:tc>
          <w:tcPr>
            <w:tcW w:type="dxa" w:w="2592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Síntese e transição</w:t>
            </w:r>
          </w:p>
        </w:tc>
        <w:tc>
          <w:tcPr>
            <w:tcW w:type="dxa" w:w="5328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 w:val="0"/>
                <w:i w:val="0"/>
                <w:color w:val="211D20"/>
                <w:sz w:val="18"/>
              </w:rPr>
              <w:t>Lançar a pergunta do debate: qual garantia ainda se perde no percurso das mulheres e meninas?</w:t>
            </w:r>
          </w:p>
        </w:tc>
      </w:tr>
    </w:tbl>
    <w:p>
      <w:pPr>
        <w:pStyle w:val="Heading1"/>
      </w:pPr>
      <w:r>
        <w:t>6. Pontos de ênfase e precisão técnica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redução dos feminicídios consumados no Paraná convive com aumento das tentativas, da violência psicológica e do descumprimento de medidas protetivas. Variações percentuais devem indicar se foram calculadas sobre valores absolutos ou reproduzidas a partir das taxas publicadas pelo FBSP.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Os totais do COMESP são influenciados pelo tamanho populacional, pela oferta de serviços, pelo acesso e pela capacidade institucional de reconhecer, classificar e registrar.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Zero feminicídio registrado não significa território sem violência.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Lei Maria da Penha organiza uma política integral; a resposta penal é importante, mas não esgota prevenção, proteção, assistência, reparação e autonomia.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Lei Mariana Ferrer incide diretamente sobre atos processuais e protege a dignidade de vítimas e testemunhas. Para os demais serviços, oferece uma chave ética e pedagógica de não revitimização, não uma extensão automática de sua incidência jurídica.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 Pacto Nacional de Prevenção aos Feminicídios foi instituído em 2023. Em 2024, a Lei nº 14.899 tratou de planos de metas e redes integradas, e a Lei nº 14.994 tornou o feminicídio crime autônomo.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Devida diligência significa prevenir, investigar, proteger, responsabilizar e reparar com seriedade, oportunidade e resposta compatível com os riscos e direitos envolvidos.</w:t>
      </w:r>
    </w:p>
    <w:p>
      <w:pPr>
        <w:pStyle w:val="Heading1"/>
      </w:pPr>
      <w:r>
        <w:t>7. Atividade principal para o debate — 30 minutos</w:t>
      </w:r>
    </w:p>
    <w:p>
      <w:pPr>
        <w:pStyle w:val="Heading2"/>
      </w:pPr>
      <w:r>
        <w:t>Mapa das garantias interrompidas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Objetivo pedagógico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Relacionar direitos reconhecidos, barreiras institucionais e territoriais e responsabilidades capazes de transformar a garantia formal em proteção experimentada.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Produto esperado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Duas garantias priorizadas; para cada uma, uma barreira, uma mudança setorial e uma mudança que exige pactuação da rede.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Organização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Grupos multiprofissionais de quatro a seis pessoas. Em público numeroso, limitar a devolutiva a uma contribuição por grupo.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Três painéis ou folhas grandes com as colunas Garantia · Barreira · Mudança necessária; cartões, canetas grossas e alternativa de contribuição anônima.</w:t>
            </w:r>
          </w:p>
        </w:tc>
      </w:tr>
    </w:tbl>
    <w:p>
      <w:pPr>
        <w:pStyle w:val="Heading3"/>
      </w:pPr>
      <w:r>
        <w:t>Comando para os grupos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Fala sugerida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“Escolham uma garantia reconhecida nos marcos apresentados que ainda encontre obstáculos para se realizar no território. Nomeiem a barreira sem identificar pessoas, serviços ou municípios. Em seguida, indiquem uma mudança possível no âmbito de um setor e outra que dependa de articulação da rede.”</w:t>
            </w:r>
          </w:p>
        </w:tc>
      </w:tr>
    </w:tbl>
    <w:p>
      <w:pPr>
        <w:pStyle w:val="Heading3"/>
      </w:pPr>
      <w:r>
        <w:t>Condução minuto a minuto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0–3 min — </w:t>
      </w:r>
      <w:r>
        <w:rPr>
          <w:rFonts w:ascii="Aptos" w:hAnsi="Aptos"/>
          <w:b w:val="0"/>
          <w:i w:val="0"/>
          <w:color w:val="211D20"/>
          <w:sz w:val="21"/>
        </w:rPr>
        <w:t>Retomar a pergunta de transição, apresentar o objetivo e reafirmar o pacto de não exposição.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3–6 min — </w:t>
      </w:r>
      <w:r>
        <w:rPr>
          <w:rFonts w:ascii="Aptos" w:hAnsi="Aptos"/>
          <w:b w:val="0"/>
          <w:i w:val="0"/>
          <w:color w:val="211D20"/>
          <w:sz w:val="21"/>
        </w:rPr>
        <w:t>Explicar as três colunas e oferecer um exemplo institucional neutro, sem associá-lo a município ou serviço.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6–14 min — </w:t>
      </w:r>
      <w:r>
        <w:rPr>
          <w:rFonts w:ascii="Aptos" w:hAnsi="Aptos"/>
          <w:b w:val="0"/>
          <w:i w:val="0"/>
          <w:color w:val="211D20"/>
          <w:sz w:val="21"/>
        </w:rPr>
        <w:t>Realizar a discussão em grupos. A facilitadora circula, esclarece o comando e impede que o trabalho se converta em relato de casos.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14–22 min — </w:t>
      </w:r>
      <w:r>
        <w:rPr>
          <w:rFonts w:ascii="Aptos" w:hAnsi="Aptos"/>
          <w:b w:val="0"/>
          <w:i w:val="0"/>
          <w:color w:val="211D20"/>
          <w:sz w:val="21"/>
        </w:rPr>
        <w:t>Receber devolutivas breves: uma garantia, uma barreira e uma mudança por grupo.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22–27 min — </w:t>
      </w:r>
      <w:r>
        <w:rPr>
          <w:rFonts w:ascii="Aptos" w:hAnsi="Aptos"/>
          <w:b w:val="0"/>
          <w:i w:val="0"/>
          <w:color w:val="211D20"/>
          <w:sz w:val="21"/>
        </w:rPr>
        <w:t>Agrupar contribuições semelhantes e escolher duas barreiras prioritárias, sem votação que produza ranking entre municípios.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27–30 min — </w:t>
      </w:r>
      <w:r>
        <w:rPr>
          <w:rFonts w:ascii="Aptos" w:hAnsi="Aptos"/>
          <w:b w:val="0"/>
          <w:i w:val="0"/>
          <w:color w:val="211D20"/>
          <w:sz w:val="21"/>
        </w:rPr>
        <w:t>Distinguir mudança setorial de pactuação da rede e realizar a síntese que abrirá a Palestra 2.</w:t>
      </w:r>
    </w:p>
    <w:p>
      <w:pPr>
        <w:pStyle w:val="Heading3"/>
      </w:pPr>
      <w:r>
        <w:t>Perguntas para aprofundar sem prescrever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Em que momento do percurso essa garantia se interrompe?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A barreira decorre de rotina, recurso, horário, comunicação, discriminação, distância ou ausência de serviço?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Quem possui governabilidade para iniciar a mudança?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evidência seria necessária para confirmar a hipótese?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Como mulheres e organizações do território poderiam participar da validação?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de encerramento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A lei torna a omissão reconhecível e o dever exigível; sua efetividade, contudo, depende de capacidade institucional, recursos, articulação, participação e controle social. O mapa produzido é uma hipótese formativa para continuidade, não um diagnóstico concluído.</w:t>
            </w:r>
          </w:p>
        </w:tc>
      </w:tr>
    </w:tbl>
    <w:p>
      <w:pPr>
        <w:pStyle w:val="Callout"/>
      </w:pPr>
      <w:r>
        <w:t>Atenções específicas: Não aceitar nomes, detalhes identificáveis ou acusações. Se surgir um problema grave, registrá-lo como questão de governança e encaminhá-lo à instância competente após a atividade.</w:t>
      </w:r>
    </w:p>
    <w:p>
      <w:pPr>
        <w:pStyle w:val="Heading1"/>
      </w:pPr>
      <w:r>
        <w:t>8. Atividades alternativas</w:t>
      </w:r>
    </w:p>
    <w:p>
      <w:pPr>
        <w:pStyle w:val="Heading2"/>
      </w:pPr>
      <w:r>
        <w:t>Linha do tempo viva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20–25 minutos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Visualizar a relação entre mobilização social, conferências, marcos legais e garantias.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Cartões com eventos e cartões com garantias.</w:t>
            </w:r>
          </w:p>
        </w:tc>
      </w:tr>
    </w:tbl>
    <w:p>
      <w:pPr>
        <w:pStyle w:val="Heading3"/>
      </w:pPr>
      <w:r>
        <w:t>Como conduzir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1. </w:t>
      </w:r>
      <w:r>
        <w:rPr>
          <w:rFonts w:ascii="Aptos" w:hAnsi="Aptos"/>
          <w:b w:val="0"/>
          <w:i w:val="0"/>
          <w:color w:val="211D20"/>
          <w:sz w:val="21"/>
        </w:rPr>
        <w:t>Distribua cartões com movimentos, conferências, tratados e leis.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2. </w:t>
      </w:r>
      <w:r>
        <w:rPr>
          <w:rFonts w:ascii="Aptos" w:hAnsi="Aptos"/>
          <w:b w:val="0"/>
          <w:i w:val="0"/>
          <w:color w:val="211D20"/>
          <w:sz w:val="21"/>
        </w:rPr>
        <w:t>Peça que o grupo organize uma sequência aproximada.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3. </w:t>
      </w:r>
      <w:r>
        <w:rPr>
          <w:rFonts w:ascii="Aptos" w:hAnsi="Aptos"/>
          <w:b w:val="0"/>
          <w:i w:val="0"/>
          <w:color w:val="211D20"/>
          <w:sz w:val="21"/>
        </w:rPr>
        <w:t>Associe cada marco a uma garantia criada ou ampliada.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4. </w:t>
      </w:r>
      <w:r>
        <w:rPr>
          <w:rFonts w:ascii="Aptos" w:hAnsi="Aptos"/>
          <w:b w:val="0"/>
          <w:i w:val="0"/>
          <w:color w:val="211D20"/>
          <w:sz w:val="21"/>
        </w:rPr>
        <w:t>Pergunte o que ainda depende de implementação no território.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da atividade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Direitos possuem genealogia: são produzidos por vozes, conflitos, alianças e participação política.</w:t>
            </w:r>
          </w:p>
        </w:tc>
      </w:tr>
    </w:tbl>
    <w:p>
      <w:pPr>
        <w:pStyle w:val="Callout"/>
      </w:pPr>
      <w:r>
        <w:t>Cuidado de facilitação: Não apresentar a história como evolução linear ou concluída; reconhecer retrocessos, disputas e a pluralidade dos movimentos.</w:t>
      </w:r>
    </w:p>
    <w:p>
      <w:pPr>
        <w:pStyle w:val="Heading2"/>
      </w:pPr>
      <w:r>
        <w:t>Semáforo das garantias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776"/>
      </w:tblGrid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Duração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15–20 minutos</w:t>
            </w:r>
          </w:p>
        </w:tc>
      </w:tr>
      <w:tr>
        <w:tc>
          <w:tcPr>
            <w:tcW w:type="dxa" w:w="2448"/>
            <w:shd w:fill="165C59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Finalidade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Produzir uma leitura rápida sobre implementação.</w:t>
            </w:r>
          </w:p>
        </w:tc>
      </w:tr>
      <w:tr>
        <w:tc>
          <w:tcPr>
            <w:tcW w:type="dxa" w:w="2448"/>
            <w:shd w:fill="711F3B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Materiais</w:t>
            </w:r>
          </w:p>
        </w:tc>
        <w:tc>
          <w:tcPr>
            <w:tcW w:type="dxa" w:w="7776"/>
            <w:shd w:fill="F7F0E5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211D20"/>
                <w:sz w:val="20"/>
              </w:rPr>
              <w:t>Cartões verdes, amarelos e vermelhos ou votação digital.</w:t>
            </w:r>
          </w:p>
        </w:tc>
      </w:tr>
    </w:tbl>
    <w:p>
      <w:pPr>
        <w:pStyle w:val="Heading3"/>
      </w:pPr>
      <w:r>
        <w:t>Como conduzir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1. </w:t>
      </w:r>
      <w:r>
        <w:rPr>
          <w:rFonts w:ascii="Aptos" w:hAnsi="Aptos"/>
          <w:b w:val="0"/>
          <w:i w:val="0"/>
          <w:color w:val="211D20"/>
          <w:sz w:val="21"/>
        </w:rPr>
        <w:t>Selecione cinco garantias abordadas na palestra.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2. </w:t>
      </w:r>
      <w:r>
        <w:rPr>
          <w:rFonts w:ascii="Aptos" w:hAnsi="Aptos"/>
          <w:b w:val="0"/>
          <w:i w:val="0"/>
          <w:color w:val="211D20"/>
          <w:sz w:val="21"/>
        </w:rPr>
        <w:t>Para cada uma, peça uma classificação: verde — fluxo conhecido; amarelo — realização parcial; vermelho — vazio crítico.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3. </w:t>
      </w:r>
      <w:r>
        <w:rPr>
          <w:rFonts w:ascii="Aptos" w:hAnsi="Aptos"/>
          <w:b w:val="0"/>
          <w:i w:val="0"/>
          <w:color w:val="211D20"/>
          <w:sz w:val="21"/>
        </w:rPr>
        <w:t>Solicite uma justificativa breve e uma evidência.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4. </w:t>
      </w:r>
      <w:r>
        <w:rPr>
          <w:rFonts w:ascii="Aptos" w:hAnsi="Aptos"/>
          <w:b w:val="0"/>
          <w:i w:val="0"/>
          <w:color w:val="211D20"/>
          <w:sz w:val="21"/>
        </w:rPr>
        <w:t>Registre temas para aprofundamento nos módulos seguintes.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70" w:type="dxa"/>
              <w:start w:w="190" w:type="dxa"/>
              <w:bottom w:w="170" w:type="dxa"/>
              <w:end w:w="19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20"/>
              </w:rPr>
              <w:t>Síntese da atividade</w:t>
              <w:br/>
            </w:r>
            <w:r>
              <w:rPr>
                <w:rFonts w:ascii="Aptos" w:hAnsi="Aptos"/>
                <w:b/>
                <w:i w:val="0"/>
                <w:color w:val="211D20"/>
                <w:sz w:val="22"/>
              </w:rPr>
              <w:t>O semáforo não mede desempenho municipal; identifica hipóteses de trabalho para formação e pactuação.</w:t>
            </w:r>
          </w:p>
        </w:tc>
      </w:tr>
    </w:tbl>
    <w:p>
      <w:pPr>
        <w:pStyle w:val="Callout"/>
      </w:pPr>
      <w:r>
        <w:t>Cuidado de facilitação: Não publicar o resultado como diagnóstico sem validação, critérios e participação ampliada.</w:t>
      </w:r>
    </w:p>
    <w:p>
      <w:pPr>
        <w:pStyle w:val="Heading1"/>
      </w:pPr>
      <w:r>
        <w:t>9. Perguntas disparadoras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direito desaparece quando a situação é reduzida ao boletim de ocorrência?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Quais mulheres e meninas encontram mais barreiras para acessar as garantias apresentadas?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Onde a demora institucional se transforma em risco?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Como movimentos e organizações de mulheres participam da avaliação das respostas?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Que garantia depende diretamente da rotina do meu setor?</w:t>
      </w:r>
    </w:p>
    <w:p>
      <w:pPr>
        <w:pStyle w:val="Heading1"/>
      </w:pPr>
      <w:r>
        <w:t>10. Cuidados éticos e de linguagem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utilizar “vítima” como identidade permanente; preferir “mulher em situação de violência” quando o contexto permitir.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perguntar por que a mulher não saiu ou não denunciou. Perguntar quais condições restringiram suas possibilidades.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prometer sigilo absoluto quando houver deveres legais específicos; explicar limites e procedimentos.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Não usar dados para ranquear municípios ou responsabilizar mulheres pela subnotificação.</w:t>
      </w:r>
    </w:p>
    <w:p>
      <w:pPr>
        <w:pStyle w:val="ListBullet"/>
        <w:spacing w:after="80"/>
      </w:pPr>
      <w:r>
        <w:rPr>
          <w:rFonts w:ascii="Aptos" w:hAnsi="Aptos"/>
          <w:b w:val="0"/>
          <w:i w:val="0"/>
          <w:color w:val="211D20"/>
          <w:sz w:val="21"/>
        </w:rPr>
        <w:t>Recusar o masculino como genérico e reconhecer mulheres e meninas em sua diversidade e interseccionalidade.</w:t>
      </w:r>
    </w:p>
    <w:p>
      <w:pPr>
        <w:pStyle w:val="Heading1"/>
      </w:pPr>
      <w:r>
        <w:t>Referências essenciais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20º Anuário Brasileiro de Segurança Pública. </w:t>
      </w:r>
      <w:r>
        <w:rPr>
          <w:rFonts w:ascii="Aptos" w:hAnsi="Aptos"/>
          <w:b w:val="0"/>
          <w:i w:val="0"/>
          <w:color w:val="165C59"/>
          <w:sz w:val="18"/>
        </w:rPr>
        <w:t>https://forumseguranca.org.br/wp-content/uploads/2026/07/anuario-2026.pdf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Painel Mulheres do Paraná — IPARDES. </w:t>
      </w:r>
      <w:r>
        <w:rPr>
          <w:rFonts w:ascii="Aptos" w:hAnsi="Aptos"/>
          <w:b w:val="0"/>
          <w:i w:val="0"/>
          <w:color w:val="165C59"/>
          <w:sz w:val="18"/>
        </w:rPr>
        <w:t>https://www.ipardes.pr.gov.br/Pagina/Mulheres-do-Parana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Convenção de Belém do Pará. </w:t>
      </w:r>
      <w:r>
        <w:rPr>
          <w:rFonts w:ascii="Aptos" w:hAnsi="Aptos"/>
          <w:b w:val="0"/>
          <w:i w:val="0"/>
          <w:color w:val="165C59"/>
          <w:sz w:val="18"/>
        </w:rPr>
        <w:t>https://cidh.oas.org/basicos/portugues/m.belem.do.para.htm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Maria da Penha.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https://www.planalto.gov.br/ccivil_03/_ato2004-2006/2006/lei/l11340.htm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Pacto Nacional de Prevenção aos Feminicídios — Decreto nº 11.640/2023.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https://www.planalto.gov.br/ccivil_03/_ato2023-2026/2023/decreto/d11640.htm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14.899/2024 — planos de metas e redes integradas.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https://www.planalto.gov.br/ccivil_03/_ato2023-2026/2024/lei/l14899.htm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nº 14.994/2024 — feminicídio como crime autônomo.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https://www.planalto.gov.br/ccivil_03/_ato2023-2026/2024/lei/l14994.htm</w:t>
      </w:r>
    </w:p>
    <w:p>
      <w:r>
        <w:rPr>
          <w:rFonts w:ascii="Aptos" w:hAnsi="Aptos"/>
          <w:b/>
          <w:i w:val="0"/>
          <w:color w:val="711F3B"/>
          <w:sz w:val="21"/>
        </w:rPr>
        <w:t xml:space="preserve">Lei Mariana Ferrer — Lei nº 14.245/2021. </w:t>
      </w:r>
      <w:r>
        <w:rPr>
          <w:rFonts w:ascii="Aptos" w:hAnsi="Aptos"/>
          <w:b w:val="0"/>
          <w:i w:val="0"/>
          <w:color w:val="165C59"/>
          <w:sz w:val="18"/>
        </w:rPr>
        <w:t>https://www.planalto.gov.br/ccivil_03/_ato2019-2022/2021/lei/l14245.htm</w:t>
      </w:r>
    </w:p>
    <w:p>
      <w:pPr>
        <w:pStyle w:val="Heading2"/>
      </w:pPr>
      <w:r>
        <w:t>Registro para continuidade da formação</w:t>
      </w:r>
    </w:p>
    <w:p>
      <w:r>
        <w:t>Este quadro não constitui diagnóstico municipal. Ele apoia a memória da mesa e a preparação dos módulos seguintes. Registre apenas sínteses institucionais, sem nomes ou informações que permitam identificar mulheres, famílias ou casos.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Garantia, barreira ou vazio que apareceu com maior força no debate</w:t>
            </w:r>
          </w:p>
        </w:tc>
      </w:tr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Possibilidade de fortalecimento indicada pelas pessoas participantes</w:t>
            </w:r>
          </w:p>
        </w:tc>
      </w:tr>
      <w:tr>
        <w:tc>
          <w:tcPr>
            <w:tcW w:type="dxa" w:w="10080"/>
            <w:shd w:fill="F7F0E5"/>
            <w:tcMar>
              <w:top w:w="130" w:type="dxa"/>
              <w:start w:w="150" w:type="dxa"/>
              <w:bottom w:w="5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711F3B"/>
                <w:sz w:val="19"/>
              </w:rPr>
              <w:t>Questão que precisa ser aprofundada nos módulos seguintes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C6669"/>
        <w:sz w:val="16"/>
      </w:rPr>
      <w:t>Capacitação realizada pelo LabSocial  |  Guia de apresentação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C6669"/>
        <w:sz w:val="16"/>
      </w:rPr>
      <w:t>COMESP · REDE PREPARADA · MULHER SEGURA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11D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711F3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5C5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B4573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711F3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40" w:after="140"/>
      <w:ind w:left="317"/>
    </w:pPr>
    <w:rPr>
      <w:rFonts w:ascii="Aptos" w:hAnsi="Aptos"/>
      <w:b/>
      <w:color w:val="711F3B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