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65C59"/>
            <w:tcMar>
              <w:top w:w="320" w:type="dxa"/>
              <w:start w:w="300" w:type="dxa"/>
              <w:bottom w:w="320" w:type="dxa"/>
              <w:end w:w="300" w:type="dxa"/>
            </w:tcMar>
          </w:tcPr>
          <w:p>
            <w:r>
              <w:rPr>
                <w:rFonts w:ascii="Aptos" w:hAnsi="Aptos"/>
                <w:b/>
                <w:i w:val="0"/>
                <w:color w:val="D6E8E5"/>
                <w:sz w:val="22"/>
              </w:rPr>
              <w:t>PALESTRA 2</w:t>
            </w:r>
          </w:p>
          <w:p>
            <w:r>
              <w:rPr>
                <w:rFonts w:ascii="Aptos Display" w:hAnsi="Aptos Display"/>
                <w:b/>
                <w:i w:val="0"/>
                <w:color w:val="FFFFFF"/>
                <w:sz w:val="60"/>
              </w:rPr>
              <w:t>A força da intersetorialidade e a autonomia da mulher</w:t>
            </w:r>
          </w:p>
          <w:p>
            <w:r>
              <w:rPr>
                <w:rFonts w:ascii="Aptos" w:hAnsi="Aptos"/>
                <w:b w:val="0"/>
                <w:i w:val="0"/>
                <w:color w:val="FFFFFF"/>
                <w:sz w:val="30"/>
              </w:rPr>
              <w:t>Uma rede que protege sem substituir sua voz</w:t>
            </w:r>
          </w:p>
          <w:p>
            <w:pPr>
              <w:spacing w:before="1400"/>
            </w:pPr>
            <w:r>
              <w:rPr>
                <w:rFonts w:ascii="Aptos" w:hAnsi="Aptos"/>
                <w:b/>
                <w:i w:val="0"/>
                <w:color w:val="C59A42"/>
                <w:sz w:val="22"/>
              </w:rPr>
              <w:t>GUIA DE APRESENTAÇÃO E FACILITAÇÃO DO DEBATE</w:t>
            </w:r>
          </w:p>
          <w:p>
            <w:r>
              <w:rPr>
                <w:rFonts w:ascii="Aptos" w:hAnsi="Aptos"/>
                <w:b w:val="0"/>
                <w:i w:val="0"/>
                <w:color w:val="FFFFFF"/>
                <w:sz w:val="20"/>
              </w:rPr>
              <w:t>Módulo I · Evento de lançamento · COMESP</w:t>
            </w:r>
          </w:p>
        </w:tc>
      </w:tr>
    </w:tbl>
    <w:p/>
    <w:p>
      <w:pPr>
        <w:jc w:val="center"/>
      </w:pPr>
      <w:r>
        <w:rPr>
          <w:rFonts w:ascii="Aptos" w:hAnsi="Aptos"/>
          <w:b/>
          <w:i w:val="0"/>
          <w:color w:val="165C59"/>
          <w:sz w:val="24"/>
        </w:rPr>
        <w:t>Programa Rede Preparada – Mulher Segura</w:t>
      </w:r>
    </w:p>
    <w:p>
      <w:pPr>
        <w:jc w:val="center"/>
      </w:pPr>
      <w:r>
        <w:rPr>
          <w:rFonts w:ascii="Aptos" w:hAnsi="Aptos"/>
          <w:b w:val="0"/>
          <w:i w:val="0"/>
          <w:color w:val="6C6669"/>
          <w:sz w:val="20"/>
        </w:rPr>
        <w:t>Elaboração e capacitação: LabSocial · 2026</w:t>
      </w:r>
    </w:p>
    <w:p>
      <w:r>
        <w:br w:type="page"/>
      </w:r>
    </w:p>
    <w:p>
      <w:pPr>
        <w:pStyle w:val="Heading1"/>
      </w:pPr>
      <w:r>
        <w:t>1. Sentido pedagógico da palestra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Duração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60 minutos de exposição, seguidos de 30 minutos de debate.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Público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Profissionais da Saúde, Assistência Social, Educação, Segurança Pública, Sistema de Justiça, gestão municipal e organizações da sociedade civil.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Propósito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Compreender intersetorialidade como responsabilidade compartilhada pela continuidade da proteção e autonomia como construção apoiada por condições materiais e relações não tutelares.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Resultado esperado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Que a rede diferencie encaminhamento de proteção efetiva, reconheça práticas revitimizantes e identifique compromissos possíveis de articulação territorial.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Tese central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Nenhum serviço protege sozinho. A rede se torna efetiva quando articula responsabilidades, confirma continuidade e cria condições para que mulheres e meninas participem das decisões sobre suas trajetórias.</w:t>
            </w:r>
          </w:p>
        </w:tc>
      </w:tr>
    </w:tbl>
    <w:p>
      <w:pPr>
        <w:pStyle w:val="Heading1"/>
      </w:pPr>
      <w:r>
        <w:t>2. Objetivos de aprendizagem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Diferenciar encaminhamento, referência, contrarreferência e acompanhamento.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Reconhecer revitimização como efeito de práticas, rotinas e fragmentações institucionais.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Compreender autonomia sem confundi-la com abandono nem tutela.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Relacionar proteção a moradia, renda, cuidado, saúde, mobilidade, educação e vínculos.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Reconhecer atribuições setoriais e responsabilidades compartilhadas.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Identificar vazios territoriais e compromissos iniciais de governança da rede.</w:t>
      </w:r>
    </w:p>
    <w:p>
      <w:pPr>
        <w:pStyle w:val="Heading1"/>
      </w:pPr>
      <w:r>
        <w:t>3. Preparação da pessoa apresentadora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Conhecer a composição setorial do público e evitar dirigir toda a responsabilidade à Segurança ou à Assistência Social.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Solicitar previamente informações sobre serviços regionais e respostas fora do horário administrativo.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Preparar um painel com quatro campos: agora · articulação · continuidade · vazio da rede.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Combinar que o caso pedagógico não será completado com suposições nem usado para prescrever condutas fora das competências profissionais.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Manter disponível o fluxo real de acolhimento para participantes que necessitem de apoio.</w:t>
      </w:r>
    </w:p>
    <w:p>
      <w:pPr>
        <w:pStyle w:val="Heading1"/>
      </w:pPr>
      <w:r>
        <w:t>4. Protocolo transversal de facilitação segura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Princípio orientador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A facilitação não fala no lugar das mulheres nem transforma experiências de violência em recurso pedagógico. Sua função é criar condições para uma reflexão institucional responsável, preservar a dignidade das pessoas participantes e converter o debate em questões de governança, cuidado, proteção e garantia de direitos.</w:t>
            </w:r>
          </w:p>
        </w:tc>
      </w:tr>
    </w:tbl>
    <w:p>
      <w:pPr>
        <w:pStyle w:val="Heading2"/>
      </w:pPr>
      <w:r>
        <w:t>4.1 Equipe mínima e responsabilidades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Facilitadora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Apresenta o propósito, sustenta os acordos, oferece os comandos, acompanha o tempo, acolhe divergências e realiza a síntese pedagógica.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Cofacilitação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Observa o clima do grupo, apoia a organização das falas, identifica necessidades de acessibilidade e acompanha discretamente quem precisar se retirar.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Relatoria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Registra apenas sínteses institucionais, sem nomes, municípios associados a fragilidades, serviços identificáveis ou informações de casos.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Referência de cuidado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Profissional previamente designada pela organização para acolhimento reservado e acionamento do fluxo local quando houver relato de risco atual.</w:t>
            </w:r>
          </w:p>
        </w:tc>
      </w:tr>
    </w:tbl>
    <w:p>
      <w:pPr>
        <w:pStyle w:val="Heading2"/>
      </w:pPr>
      <w:r>
        <w:t>4.2 Preparação do espaço e dos materiais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Confirmar com a organização quem exercerá a referência de cuidado e quais serviços poderão ser acionados durante o evento.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Conhecer saídas, espaço reservado, banheiros acessíveis e possibilidades de pausa ou participação sem fala pública.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Organizar grupos multiprofissionais de quatro a seis pessoas, evitando concentração de um único setor sempre que possível.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Preparar comandos impressos em fonte ampliada e painéis legíveis à distância; cores devem vir acompanhadas de palavras ou símbolos.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Disponibilizar formas oral, escrita e anônima de contribuição. Ninguém deve ser convocade a se expor para demonstrar aprendizagem.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Preparar painel com quatro campos: Ação imediata · Articulação · Continuidade · Vazio estrutural.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Imprimir o caso pedagógico exatamente como apresentado no slide 13 e orientar a equipe a não acrescentar características, diagnósticos ou decisões.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Verificar previamente o protocolo local sobre notificação em saúde, comunicação externa, proteção de crianças e adolescentes e situações de risco iminente.</w:t>
      </w:r>
    </w:p>
    <w:p>
      <w:pPr>
        <w:pStyle w:val="Heading2"/>
      </w:pPr>
      <w:r>
        <w:t>4.3 Fala de abertura sugerida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Comando da facilitadora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“Esta atividade convida a refletir sobre práticas e responsabilidades institucionais. Não precisamos relatar experiências pessoais nem casos que permitam identificar mulheres, famílias, profissionais, serviços ou municípios. Cada pessoa pode participar falando, escrevendo ou apenas acompanhando. Se o tema mobilizar alguma necessidade de cuidado, haverá uma referência da organização disponível para acolhimento reservado.”</w:t>
            </w:r>
          </w:p>
        </w:tc>
      </w:tr>
    </w:tbl>
    <w:p>
      <w:pPr>
        <w:pStyle w:val="Heading2"/>
      </w:pPr>
      <w:r>
        <w:t>4.4 Acordos de participação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Falar a partir da função e da experiência institucional, sem representar toda uma categoria, município ou grupo de mulheres.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Criticar processos e condições de trabalho sem produzir exposição pública ou culpabilização individual.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disputar qual setor “faz mais”; identificar responsabilidades próprias, responsabilidades compartilhadas e vazios de governança.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completar situações pedagógicas com suposições, diagnósticos, julgamentos ou prescrições sem informação suficiente.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Preservar o direito ao silêncio, à pausa e à não exposição.</w:t>
      </w:r>
    </w:p>
    <w:p>
      <w:pPr>
        <w:pStyle w:val="Heading2"/>
      </w:pPr>
      <w:r>
        <w:t>4.5 Manejo de situações sensíveis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Relato pessoal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Agradecer a confiança, interromper detalhes identificáveis com cuidado e oferecer acolhimento reservado. Não explorar o relato em plenária.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Risco atual ou iminente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Acionar a referência de cuidado e o fluxo competente. A dinâmica não substitui avaliação profissional, atendimento ou providências legais.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Informação jurídica duvidosa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Não confirmar de improviso. Registrar a questão, indicar que será conferida em fonte oficial e retomar posteriormente.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Conflito entre setores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Reformular acusações como perguntas sobre atribuição, comunicação, recursos, governança e continuidade.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Fala culpabilizadora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Intervir sem humilhar: deslocar “por que ela não fez?” para “que riscos, barreiras e condições restringiram suas possibilidades?”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Silêncio ou baixa participação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Oferecer escrita individual, conversa em dupla ou contribuição anônima; não preencher o silêncio convocando relatos pessoais.</w:t>
            </w:r>
          </w:p>
        </w:tc>
      </w:tr>
    </w:tbl>
    <w:p>
      <w:pPr>
        <w:pStyle w:val="Heading2"/>
      </w:pPr>
      <w:r>
        <w:t>4.6 Registro, proteção de dados e uso posterior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Registrar ideias, não trajetórias pessoais. Não fotografar painéis que contenham informações identificáveis.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transformar o resultado em diagnóstico, ranking municipal ou avaliação de desempenho sem metodologia, validação e participação ampliada.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Separar achados da formação, hipóteses de trabalho e decisões efetivamente pactuadas.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Ao final, informar para que o registro será utilizado e quem ficará responsável por sua guarda e sistematização.</w:t>
      </w:r>
    </w:p>
    <w:p>
      <w:pPr>
        <w:pStyle w:val="Heading1"/>
      </w:pPr>
      <w:r>
        <w:t>5. Percurso de fala — 60 minutos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080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Tempo</w:t>
            </w:r>
          </w:p>
        </w:tc>
        <w:tc>
          <w:tcPr>
            <w:tcW w:type="dxa" w:w="936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Slides</w:t>
            </w:r>
          </w:p>
        </w:tc>
        <w:tc>
          <w:tcPr>
            <w:tcW w:type="dxa" w:w="2592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Função pedagógica</w:t>
            </w:r>
          </w:p>
        </w:tc>
        <w:tc>
          <w:tcPr>
            <w:tcW w:type="dxa" w:w="532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Orientação de fala</w:t>
            </w:r>
          </w:p>
        </w:tc>
      </w:tr>
      <w:tr>
        <w:tc>
          <w:tcPr>
            <w:tcW w:type="dxa" w:w="1080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0–7 min</w:t>
            </w:r>
          </w:p>
        </w:tc>
        <w:tc>
          <w:tcPr>
            <w:tcW w:type="dxa" w:w="93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1–2</w:t>
            </w:r>
          </w:p>
        </w:tc>
        <w:tc>
          <w:tcPr>
            <w:tcW w:type="dxa" w:w="2592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Conexão entre as palestras</w:t>
            </w:r>
          </w:p>
        </w:tc>
        <w:tc>
          <w:tcPr>
            <w:tcW w:type="dxa" w:w="5328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Partir da distância entre direito reconhecido e proteção experimentada.</w:t>
            </w:r>
          </w:p>
        </w:tc>
      </w:tr>
      <w:tr>
        <w:tc>
          <w:tcPr>
            <w:tcW w:type="dxa" w:w="10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7–17 min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3–5</w:t>
            </w:r>
          </w:p>
        </w:tc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Trajetória e continuidade</w:t>
            </w:r>
          </w:p>
        </w:tc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Mostrar que a vida não é dividida por setores e diferenciar encaminhamento de articulação.</w:t>
            </w:r>
          </w:p>
        </w:tc>
      </w:tr>
      <w:tr>
        <w:tc>
          <w:tcPr>
            <w:tcW w:type="dxa" w:w="1080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17–27 min</w:t>
            </w:r>
          </w:p>
        </w:tc>
        <w:tc>
          <w:tcPr>
            <w:tcW w:type="dxa" w:w="93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6</w:t>
            </w:r>
          </w:p>
        </w:tc>
        <w:tc>
          <w:tcPr>
            <w:tcW w:type="dxa" w:w="2592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Revitimização</w:t>
            </w:r>
          </w:p>
        </w:tc>
        <w:tc>
          <w:tcPr>
            <w:tcW w:type="dxa" w:w="5328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Nomear culpabilização, repetição, exposição, demora e peregrinação como efeitos institucionais.</w:t>
            </w:r>
          </w:p>
        </w:tc>
      </w:tr>
      <w:tr>
        <w:tc>
          <w:tcPr>
            <w:tcW w:type="dxa" w:w="10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27–39 min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7–8</w:t>
            </w:r>
          </w:p>
        </w:tc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Autonomia e risco</w:t>
            </w:r>
          </w:p>
        </w:tc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Trabalhar autonomia relacional, avaliação técnica, informação, decisão compartilhada e dever de agir.</w:t>
            </w:r>
          </w:p>
        </w:tc>
      </w:tr>
      <w:tr>
        <w:tc>
          <w:tcPr>
            <w:tcW w:type="dxa" w:w="1080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39–48 min</w:t>
            </w:r>
          </w:p>
        </w:tc>
        <w:tc>
          <w:tcPr>
            <w:tcW w:type="dxa" w:w="93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9–10</w:t>
            </w:r>
          </w:p>
        </w:tc>
        <w:tc>
          <w:tcPr>
            <w:tcW w:type="dxa" w:w="2592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Condições materiais e setores</w:t>
            </w:r>
          </w:p>
        </w:tc>
        <w:tc>
          <w:tcPr>
            <w:tcW w:type="dxa" w:w="5328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Relacionar proteção a sustentação da vida e delimitar atribuições sem fragmentar responsabilidades.</w:t>
            </w:r>
          </w:p>
        </w:tc>
      </w:tr>
      <w:tr>
        <w:tc>
          <w:tcPr>
            <w:tcW w:type="dxa" w:w="10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48–54 min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11–12</w:t>
            </w:r>
          </w:p>
        </w:tc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Território e governança</w:t>
            </w:r>
          </w:p>
        </w:tc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Reconhecer distâncias, horários, dependências regionais, coordenação e participação.</w:t>
            </w:r>
          </w:p>
        </w:tc>
      </w:tr>
      <w:tr>
        <w:tc>
          <w:tcPr>
            <w:tcW w:type="dxa" w:w="1080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54–59 min</w:t>
            </w:r>
          </w:p>
        </w:tc>
        <w:tc>
          <w:tcPr>
            <w:tcW w:type="dxa" w:w="93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13–14</w:t>
            </w:r>
          </w:p>
        </w:tc>
        <w:tc>
          <w:tcPr>
            <w:tcW w:type="dxa" w:w="2592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Caso e compromissos</w:t>
            </w:r>
          </w:p>
        </w:tc>
        <w:tc>
          <w:tcPr>
            <w:tcW w:type="dxa" w:w="5328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Mobilizar respostas rápidas e apresentar critérios observáveis de continuidade.</w:t>
            </w:r>
          </w:p>
        </w:tc>
      </w:tr>
      <w:tr>
        <w:tc>
          <w:tcPr>
            <w:tcW w:type="dxa" w:w="10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59–60 min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15</w:t>
            </w:r>
          </w:p>
        </w:tc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Síntese</w:t>
            </w:r>
          </w:p>
        </w:tc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Lançar a pergunta que orientará o debate de 30 minutos.</w:t>
            </w:r>
          </w:p>
        </w:tc>
      </w:tr>
    </w:tbl>
    <w:p>
      <w:pPr>
        <w:pStyle w:val="Heading1"/>
      </w:pPr>
      <w:r>
        <w:t>6. Pontos de ênfase e precisão técnica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Autonomia é relacional: depende de informação, opções reais, tempo, segurança, renda, moradia, cuidado, mobilidade e vínculos não violentos.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Respeitar decisões não significa omissão diante do risco; significa agir com transparência, participação da mulher e cumprimento dos deveres legais pertinentes.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 notificação compulsória ao sistema de saúde tem finalidade sanitária e não se confunde com boletim de ocorrência ou manifestação de vontade para iniciar ação penal. A Lei nº 10.778/2003, alterada pela Lei nº 13.931/2019, também prevê comunicação obrigatória à autoridade policial em até 24 horas; a aplicação deve observar protocolos, sigilo, proteção de dados e informação à mulher.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Quem encaminha não encerra automaticamente sua responsabilidade: deve haver clareza sobre retorno, acompanhamento e limites de competência.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Compartilhar responsabilidade não significa compartilhar indiscriminadamente informações. Finalidade, necessidade, proporcionalidade, base legal, segurança e registro da decisão devem orientar cada comunicação.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 presença de crianças na situação pedagógica exige reconhecer deveres próprios do sistema de garantia de direitos, sem presumir fatos, risco ou providências não informadas.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 rede deve monitorar a política e seus resultados, não vigiar a vida das mulheres.</w:t>
      </w:r>
    </w:p>
    <w:p>
      <w:pPr>
        <w:pStyle w:val="Heading1"/>
      </w:pPr>
      <w:r>
        <w:t>7. Atividade principal para o debate — 30 minutos</w:t>
      </w:r>
    </w:p>
    <w:p>
      <w:pPr>
        <w:pStyle w:val="Heading2"/>
      </w:pPr>
      <w:r>
        <w:t>Do encaminhamento à proteção continuada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Objetivo pedagógico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Aplicar os conceitos da palestra a uma trajetória simulada, distinguindo ação imediata, articulação responsável, continuidade e vazio de governança.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Produto esperado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Uma ação imediata, uma articulação necessária, uma responsabilidade de continuidade e um vazio que dependa de pactuação municipal ou regional.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Organização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Grupos multiprofissionais de quatro a seis pessoas. Se houver poucas pessoas, realizar em plenária com contribuições escritas antes das falas.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Materiais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Caso impresso; painel com quatro colunas; cartões; canetas; relógio visível; alternativa de resposta anônima.</w:t>
            </w:r>
          </w:p>
        </w:tc>
      </w:tr>
    </w:tbl>
    <w:p>
      <w:pPr>
        <w:pStyle w:val="Heading3"/>
      </w:pPr>
      <w:r>
        <w:t>Comando para os grupos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Fala sugerida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“Sem acrescentar fatos ao caso, indiquem: o que a primeira porta precisa fazer agora; que articulação é necessária; quem sustenta a continuidade; e qual necessidade nenhum serviço resolve sozinho. Considerem autonomia, risco, proteção de dados, condições materiais e responsabilidades legais.”</w:t>
            </w:r>
          </w:p>
        </w:tc>
      </w:tr>
    </w:tbl>
    <w:p>
      <w:pPr>
        <w:pStyle w:val="Heading3"/>
      </w:pPr>
      <w:r>
        <w:t>Condução minuto a minuto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0–4 min — </w:t>
      </w:r>
      <w:r>
        <w:rPr>
          <w:rFonts w:ascii="Aptos" w:hAnsi="Aptos"/>
          <w:b w:val="0"/>
          <w:i w:val="0"/>
          <w:color w:val="211D20"/>
          <w:sz w:val="21"/>
        </w:rPr>
        <w:t>Ler o caso exatamente como está escrito, explicar que ele é deliberadamente incompleto e reafirmar que nenhuma pessoa precisa compartilhar casos reais.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4–12 min — </w:t>
      </w:r>
      <w:r>
        <w:rPr>
          <w:rFonts w:ascii="Aptos" w:hAnsi="Aptos"/>
          <w:b w:val="0"/>
          <w:i w:val="0"/>
          <w:color w:val="211D20"/>
          <w:sz w:val="21"/>
        </w:rPr>
        <w:t>Grupos respondem às quatro colunas. A facilitadora circula e devolve perguntas quando surgirem prescrições ou suposições.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12–20 min — </w:t>
      </w:r>
      <w:r>
        <w:rPr>
          <w:rFonts w:ascii="Aptos" w:hAnsi="Aptos"/>
          <w:b w:val="0"/>
          <w:i w:val="0"/>
          <w:color w:val="211D20"/>
          <w:sz w:val="21"/>
        </w:rPr>
        <w:t>Receber uma contribuição por grupo, começando pela ação imediata e seguindo até o vazio estrutural.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20–25 min — </w:t>
      </w:r>
      <w:r>
        <w:rPr>
          <w:rFonts w:ascii="Aptos" w:hAnsi="Aptos"/>
          <w:b w:val="0"/>
          <w:i w:val="0"/>
          <w:color w:val="211D20"/>
          <w:sz w:val="21"/>
        </w:rPr>
        <w:t>Identificar quem confirmaria o acesso, como ocorreria o retorno e qual informação seria estritamente necessária entre os serviços.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25–28 min — </w:t>
      </w:r>
      <w:r>
        <w:rPr>
          <w:rFonts w:ascii="Aptos" w:hAnsi="Aptos"/>
          <w:b w:val="0"/>
          <w:i w:val="0"/>
          <w:color w:val="211D20"/>
          <w:sz w:val="21"/>
        </w:rPr>
        <w:t>Escolher um compromisso inicial possível e uma questão que exige aprofundamento no Módulo IV.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28–30 min — </w:t>
      </w:r>
      <w:r>
        <w:rPr>
          <w:rFonts w:ascii="Aptos" w:hAnsi="Aptos"/>
          <w:b w:val="0"/>
          <w:i w:val="0"/>
          <w:color w:val="211D20"/>
          <w:sz w:val="21"/>
        </w:rPr>
        <w:t>Realizar a síntese, explicitar divergências não resolvidas e informar o destino do registro.</w:t>
      </w:r>
    </w:p>
    <w:p>
      <w:pPr>
        <w:pStyle w:val="Heading3"/>
      </w:pPr>
      <w:r>
        <w:t>Perguntas para aprofundar sem prescrever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O que sabemos e o que ainda precisaríamos perguntar à mulher?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 ação está dentro da competência da primeira porta?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Quem precisa saber o quê — e por qual finalidade?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Como a mulher participa das decisões e recebe informação compreensível?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Quem confirma que o acesso aconteceu e oferece retorno seguro?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 necessidade exige governança regional, orçamento ou ampliação de oferta?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Síntese de encerramento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Proteção não se comprova pelo número de encaminhamentos realizados. Torna-se observável quando há acesso efetivo, continuidade, comunicação proporcional, redução de barreiras e ampliação das condições de segurança e decisão da mulher.</w:t>
            </w:r>
          </w:p>
        </w:tc>
      </w:tr>
    </w:tbl>
    <w:p>
      <w:pPr>
        <w:pStyle w:val="Callout"/>
      </w:pPr>
      <w:r>
        <w:t>Atenções específicas: Não exigir consenso sobre uma única conduta; não transformar o caso em prescrição jurídica ou clínica; não supor que a presença de crianças autoriza exposição indiscriminada de informações. Divergências devem ser registradas para protocolo e formação.</w:t>
      </w:r>
    </w:p>
    <w:p>
      <w:pPr>
        <w:pStyle w:val="Heading1"/>
      </w:pPr>
      <w:r>
        <w:t>8. Atividades alternativas</w:t>
      </w:r>
    </w:p>
    <w:p>
      <w:pPr>
        <w:pStyle w:val="Heading2"/>
      </w:pPr>
      <w:r>
        <w:t>Encaminhamento ou proteção?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Duração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15–20 minutos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Finalidade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Distinguir práticas burocráticas de articulação responsável.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Materiais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Cartões com situações institucionais.</w:t>
            </w:r>
          </w:p>
        </w:tc>
      </w:tr>
    </w:tbl>
    <w:p>
      <w:pPr>
        <w:pStyle w:val="Heading3"/>
      </w:pPr>
      <w:r>
        <w:t>Como conduzir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1. </w:t>
      </w:r>
      <w:r>
        <w:rPr>
          <w:rFonts w:ascii="Aptos" w:hAnsi="Aptos"/>
          <w:b w:val="0"/>
          <w:i w:val="0"/>
          <w:color w:val="211D20"/>
          <w:sz w:val="21"/>
        </w:rPr>
        <w:t>Leia situações como: “entregou o telefone”, “agendou e confirmou o acesso”, “compartilhou todo o prontuário”, “combinou retorno seguro”.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2. </w:t>
      </w:r>
      <w:r>
        <w:rPr>
          <w:rFonts w:ascii="Aptos" w:hAnsi="Aptos"/>
          <w:b w:val="0"/>
          <w:i w:val="0"/>
          <w:color w:val="211D20"/>
          <w:sz w:val="21"/>
        </w:rPr>
        <w:t>Peça ao grupo que classifique cada situação como encaminhamento, articulação, risco de revitimização ou continuidade.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3. </w:t>
      </w:r>
      <w:r>
        <w:rPr>
          <w:rFonts w:ascii="Aptos" w:hAnsi="Aptos"/>
          <w:b w:val="0"/>
          <w:i w:val="0"/>
          <w:color w:val="211D20"/>
          <w:sz w:val="21"/>
        </w:rPr>
        <w:t>Solicite justificativa com base em autonomia, necessidade e proteção de dados.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4. </w:t>
      </w:r>
      <w:r>
        <w:rPr>
          <w:rFonts w:ascii="Aptos" w:hAnsi="Aptos"/>
          <w:b w:val="0"/>
          <w:i w:val="0"/>
          <w:color w:val="211D20"/>
          <w:sz w:val="21"/>
        </w:rPr>
        <w:t>Reformule coletivamente duas práticas inadequadas.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Síntese da atividade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Uma ação pode ter aparência de cuidado e ainda produzir exposição, tutela ou abandono.</w:t>
            </w:r>
          </w:p>
        </w:tc>
      </w:tr>
    </w:tbl>
    <w:p>
      <w:pPr>
        <w:pStyle w:val="Callout"/>
      </w:pPr>
      <w:r>
        <w:t>Cuidado de facilitação: Evitar respostas absolutas; o sentido da prática depende da finalidade, necessidade, consentimento possível, risco e competência legal.</w:t>
      </w:r>
    </w:p>
    <w:p>
      <w:pPr>
        <w:pStyle w:val="Heading2"/>
      </w:pPr>
      <w:r>
        <w:t>Rota sem porta giratória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Duração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25 minutos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Finalidade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Mapear pontos de repetição e interrupção entre serviços.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Materiais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Folha grande com uma trajetória fictícia e cartões de serviços.</w:t>
            </w:r>
          </w:p>
        </w:tc>
      </w:tr>
    </w:tbl>
    <w:p>
      <w:pPr>
        <w:pStyle w:val="Heading3"/>
      </w:pPr>
      <w:r>
        <w:t>Como conduzir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1. </w:t>
      </w:r>
      <w:r>
        <w:rPr>
          <w:rFonts w:ascii="Aptos" w:hAnsi="Aptos"/>
          <w:b w:val="0"/>
          <w:i w:val="0"/>
          <w:color w:val="211D20"/>
          <w:sz w:val="21"/>
        </w:rPr>
        <w:t>Posicione as portas de entrada disponíveis no território.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2. </w:t>
      </w:r>
      <w:r>
        <w:rPr>
          <w:rFonts w:ascii="Aptos" w:hAnsi="Aptos"/>
          <w:b w:val="0"/>
          <w:i w:val="0"/>
          <w:color w:val="211D20"/>
          <w:sz w:val="21"/>
        </w:rPr>
        <w:t>Trace a trajetória possível da mulher entre elas.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3. </w:t>
      </w:r>
      <w:r>
        <w:rPr>
          <w:rFonts w:ascii="Aptos" w:hAnsi="Aptos"/>
          <w:b w:val="0"/>
          <w:i w:val="0"/>
          <w:color w:val="211D20"/>
          <w:sz w:val="21"/>
        </w:rPr>
        <w:t>Marque em vermelho onde ela repete relato ou perde continuidade.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4. </w:t>
      </w:r>
      <w:r>
        <w:rPr>
          <w:rFonts w:ascii="Aptos" w:hAnsi="Aptos"/>
          <w:b w:val="0"/>
          <w:i w:val="0"/>
          <w:color w:val="211D20"/>
          <w:sz w:val="21"/>
        </w:rPr>
        <w:t>Marque em verde onde existe referência, retorno ou acompanhamento.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5. </w:t>
      </w:r>
      <w:r>
        <w:rPr>
          <w:rFonts w:ascii="Aptos" w:hAnsi="Aptos"/>
          <w:b w:val="0"/>
          <w:i w:val="0"/>
          <w:color w:val="211D20"/>
          <w:sz w:val="21"/>
        </w:rPr>
        <w:t>Escolha uma conexão que pode ser fortalecida antes do Módulo IV.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Síntese da atividade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O objetivo não é desenhar o fluxo definitivo, mas tornar visíveis as passagens onde a proteção se fragiliza.</w:t>
            </w:r>
          </w:p>
        </w:tc>
      </w:tr>
    </w:tbl>
    <w:p>
      <w:pPr>
        <w:pStyle w:val="Callout"/>
      </w:pPr>
      <w:r>
        <w:t>Cuidado de facilitação: Não expor municípios ou serviços de forma acusatória; validar o mapa posteriormente com as equipes e com participação social.</w:t>
      </w:r>
    </w:p>
    <w:p>
      <w:pPr>
        <w:pStyle w:val="Heading2"/>
      </w:pPr>
      <w:r>
        <w:t>Autonomia, risco ou tutela?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Duração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20 minutos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Finalidade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Trabalhar tensões sem opor autonomia e proteção.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Materiais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Três placas ou espaços: autonomia apoiada · omissão · tutela.</w:t>
            </w:r>
          </w:p>
        </w:tc>
      </w:tr>
    </w:tbl>
    <w:p>
      <w:pPr>
        <w:pStyle w:val="Heading3"/>
      </w:pPr>
      <w:r>
        <w:t>Como conduzir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1. </w:t>
      </w:r>
      <w:r>
        <w:rPr>
          <w:rFonts w:ascii="Aptos" w:hAnsi="Aptos"/>
          <w:b w:val="0"/>
          <w:i w:val="0"/>
          <w:color w:val="211D20"/>
          <w:sz w:val="21"/>
        </w:rPr>
        <w:t>Apresente pequenas decisões institucionais.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2. </w:t>
      </w:r>
      <w:r>
        <w:rPr>
          <w:rFonts w:ascii="Aptos" w:hAnsi="Aptos"/>
          <w:b w:val="0"/>
          <w:i w:val="0"/>
          <w:color w:val="211D20"/>
          <w:sz w:val="21"/>
        </w:rPr>
        <w:t>Peça posicionamento e justificativa.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3. </w:t>
      </w:r>
      <w:r>
        <w:rPr>
          <w:rFonts w:ascii="Aptos" w:hAnsi="Aptos"/>
          <w:b w:val="0"/>
          <w:i w:val="0"/>
          <w:color w:val="211D20"/>
          <w:sz w:val="21"/>
        </w:rPr>
        <w:t>Pergunte que informação ou condição material alteraria a escolha.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4. </w:t>
      </w:r>
      <w:r>
        <w:rPr>
          <w:rFonts w:ascii="Aptos" w:hAnsi="Aptos"/>
          <w:b w:val="0"/>
          <w:i w:val="0"/>
          <w:color w:val="211D20"/>
          <w:sz w:val="21"/>
        </w:rPr>
        <w:t>Reescreva as respostas de modo a combinar proteção, transparência e participação.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Síntese da atividade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Autonomia apoiada cria condições de decisão; tutela substitui a mulher; omissão abandona a responsabilidade institucional.</w:t>
            </w:r>
          </w:p>
        </w:tc>
      </w:tr>
    </w:tbl>
    <w:p>
      <w:pPr>
        <w:pStyle w:val="Callout"/>
      </w:pPr>
      <w:r>
        <w:t>Cuidado de facilitação: Situações de risco iminente exigem deveres legais específicos. A atividade não substitui protocolos nem avaliação profissional.</w:t>
      </w:r>
    </w:p>
    <w:p>
      <w:pPr>
        <w:pStyle w:val="Heading1"/>
      </w:pPr>
      <w:r>
        <w:t>9. Perguntas disparadoras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Quando um encaminhamento realizado por nosso serviço se transforma em peregrinação?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 informação um serviço realmente precisa receber — e devolver — ao outro?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Quais condições materiais limitam as alternativas apresentadas à mulher?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Quem acompanha a trajetória depois da resposta emergencial?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 vazio depende de pacto regional entre municípios?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Como mulheres e organizações podem participar da avaliação da rede?</w:t>
      </w:r>
    </w:p>
    <w:p>
      <w:pPr>
        <w:pStyle w:val="Heading1"/>
      </w:pPr>
      <w:r>
        <w:t>10. Cuidados éticos e de facilitação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solicitar relatos pessoais nem discutir casos identificáveis em plenária.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reduzir autonomia à decisão de denunciar, separar-se ou sair imediatamente.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prometer soluções que dependem de serviços ou autoridades ausentes.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naturalizar compartilhamento amplo de dados sob o argumento da intersetorialidade.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Valorizar experiências existentes sem ocultar vazios institucionais.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Transformar críticas em perguntas de governança, responsabilidades e possibilidades de fortalecimento.</w:t>
      </w:r>
    </w:p>
    <w:p>
      <w:pPr>
        <w:pStyle w:val="Heading1"/>
      </w:pPr>
      <w:r>
        <w:t>Referências essenciais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Maria da Penha.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https://www.planalto.gov.br/ccivil_03/_ato2004-2006/2006/lei/l11340.htm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Convenção de Belém do Pará. </w:t>
      </w:r>
      <w:r>
        <w:rPr>
          <w:rFonts w:ascii="Aptos" w:hAnsi="Aptos"/>
          <w:b w:val="0"/>
          <w:i w:val="0"/>
          <w:color w:val="165C59"/>
          <w:sz w:val="18"/>
        </w:rPr>
        <w:t>https://cidh.oas.org/basicos/portugues/m.belem.do.para.htm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Pacto Nacional de Prevenção aos Feminicídios.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https://www.planalto.gov.br/ccivil_03/_ato2023-2026/2023/decreto/d11640.htm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nº 14.550/2023 — medidas protetivas.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https://www.planalto.gov.br/ccivil_03/_ato2023-2026/2023/lei/l14550.htm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nº 13.505/2017 — atendimento policial e pericial especializado.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https://www.planalto.gov.br/ccivil_03/_ato2015-2018/2017/lei/l13505.htm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nº 10.778/2003 e Lei nº 13.931/2019 — notificação e comunicação obrigatória.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https://www.planalto.gov.br/ccivil_03/leis/2003/l10.778.htm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nº 13.709/2018 — Lei Geral de Proteção de Dados Pessoais.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https://www.planalto.gov.br/ccivil_03/_ato2015-2018/2018/lei/l13709.htm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Programa Mulher Viver sem Violência. </w:t>
      </w:r>
      <w:r>
        <w:rPr>
          <w:rFonts w:ascii="Aptos" w:hAnsi="Aptos"/>
          <w:b w:val="0"/>
          <w:i w:val="0"/>
          <w:color w:val="165C59"/>
          <w:sz w:val="18"/>
        </w:rPr>
        <w:t>https://www.gov.br/mulheres/pt-br/acesso-a-informacao/acoes-e-programas/programa-mulher-viver-sem-violencia</w:t>
      </w:r>
    </w:p>
    <w:p>
      <w:pPr>
        <w:pStyle w:val="Heading2"/>
      </w:pPr>
      <w:r>
        <w:t>Registro para continuidade da formação</w:t>
      </w:r>
    </w:p>
    <w:p>
      <w:r>
        <w:t>Este quadro não constitui diagnóstico municipal. Ele apoia a memória da mesa e a preparação dos módulos seguintes. Registre apenas sínteses institucionais, sem nomes ou informações que permitam identificar mulheres, famílias ou casos.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30" w:type="dxa"/>
              <w:start w:w="150" w:type="dxa"/>
              <w:bottom w:w="52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9"/>
              </w:rPr>
              <w:t>Garantia, barreira ou vazio que apareceu com maior força no debate</w:t>
            </w:r>
          </w:p>
        </w:tc>
      </w:tr>
      <w:tr>
        <w:tc>
          <w:tcPr>
            <w:tcW w:type="dxa" w:w="10080"/>
            <w:shd w:fill="F7F0E5"/>
            <w:tcMar>
              <w:top w:w="130" w:type="dxa"/>
              <w:start w:w="150" w:type="dxa"/>
              <w:bottom w:w="52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9"/>
              </w:rPr>
              <w:t>Possibilidade de fortalecimento indicada pelas pessoas participantes</w:t>
            </w:r>
          </w:p>
        </w:tc>
      </w:tr>
      <w:tr>
        <w:tc>
          <w:tcPr>
            <w:tcW w:type="dxa" w:w="10080"/>
            <w:shd w:fill="F7F0E5"/>
            <w:tcMar>
              <w:top w:w="130" w:type="dxa"/>
              <w:start w:w="150" w:type="dxa"/>
              <w:bottom w:w="52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9"/>
              </w:rPr>
              <w:t>Questão que precisa ser aprofundada nos módulos seguintes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C6669"/>
        <w:sz w:val="16"/>
      </w:rPr>
      <w:t>Capacitação realizada pelo LabSocial  |  Guia de apresentação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6C6669"/>
        <w:sz w:val="16"/>
      </w:rPr>
      <w:t>COMESP · REDE PREPARADA · MULHER SEGURA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211D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711F3B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5C59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B4573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711F3B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40" w:after="140"/>
      <w:ind w:left="317"/>
    </w:pPr>
    <w:rPr>
      <w:rFonts w:ascii="Aptos" w:hAnsi="Aptos"/>
      <w:b/>
      <w:color w:val="711F3B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