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</w:pPr>
      <w:r>
        <w:rPr>
          <w:b/>
          <w:color w:val="5B1738"/>
          <w:sz w:val="18"/>
        </w:rPr>
        <w:t>MÓDULO III · LEGISLAÇÃO APLICADA · 4 HORAS</w:t>
      </w:r>
    </w:p>
    <w:p>
      <w:pPr>
        <w:pStyle w:val="Title"/>
        <w:keepLines/>
      </w:pPr>
      <w:r>
        <w:rPr>
          <w:b w:val="0"/>
        </w:rPr>
        <w:t>Do direito à resposta institucional</w:t>
      </w:r>
    </w:p>
    <w:p>
      <w:pPr>
        <w:keepLines/>
      </w:pPr>
      <w:r>
        <w:rPr>
          <w:rFonts w:ascii="DejaVu Serif" w:hAnsi="DejaVu Serif"/>
          <w:b w:val="0"/>
          <w:color w:val="5B1738"/>
          <w:sz w:val="26"/>
        </w:rPr>
        <w:t>A Lei Maria da Penha, a legislação sobre feminicídio e os direitos de mulheres e meninas: aplicação na prática profissional.</w:t>
      </w:r>
    </w:p>
    <w:p>
      <w:pPr>
        <w:keepLines/>
      </w:pPr>
      <w:r>
        <w:rPr>
          <w:b w:val="0"/>
        </w:rPr>
        <w:t>A legislação como instrumento de garantia de direitos, prevenção, proteção e responsabilização. O foco é qualificar decisões cotidianas: reconhecer necessidades, orientar sobre direitos, identificar atribuições institucionais e evitar exigências indevidas que dificultem o atendimento.</w:t>
      </w:r>
    </w:p>
    <w:p>
      <w:pPr>
        <w:keepLines/>
        <w:shd w:fill="5B1738"/>
        <w:ind w:left="170" w:right="170"/>
      </w:pPr>
      <w:r>
        <w:rPr>
          <w:b/>
          <w:color w:val="FFFFFF"/>
          <w:sz w:val="18"/>
        </w:rPr>
        <w:t>PERGUNTA ORIENTADORA</w:t>
      </w:r>
    </w:p>
    <w:p>
      <w:pPr>
        <w:keepLines/>
        <w:shd w:fill="5B1738"/>
        <w:ind w:left="170" w:right="170"/>
      </w:pPr>
      <w:r>
        <w:rPr>
          <w:b w:val="0"/>
          <w:color w:val="FFFFFF"/>
          <w:sz w:val="24"/>
        </w:rPr>
        <w:t>Como transformar o reconhecimento de um direito em uma resposta institucional de proteção?</w:t>
      </w:r>
    </w:p>
    <w:p>
      <w:pPr>
        <w:keepLines/>
      </w:pPr>
      <w:r>
        <w:rPr>
          <w:b/>
        </w:rPr>
        <w:t>Ao final:</w:t>
      </w:r>
      <w:r>
        <w:t xml:space="preserve"> identificar fundamentos de uma resposta protetiva, distinguir procedimentos frequentemente confundidos e justificar uma conduta profissional diante de uma situação de violência.</w:t>
      </w:r>
    </w:p>
    <w:p>
      <w:pPr>
        <w:keepLines/>
      </w:pPr>
      <w:hyperlink r:id="rId11">
        <w:r>
          <w:rPr>
            <w:color w:val="5B1738"/>
            <w:u w:val="single"/>
          </w:rPr>
          <w:t>Oficina e matriz</w:t>
        </w:r>
      </w:hyperlink>
      <w:r>
        <w:t xml:space="preserve">   |   </w:t>
      </w:r>
      <w:hyperlink r:id="rId12">
        <w:r>
          <w:rPr>
            <w:color w:val="5B1738"/>
            <w:u w:val="single"/>
          </w:rPr>
          <w:t>Referências</w:t>
        </w:r>
      </w:hyperlink>
      <w:r>
        <w:t xml:space="preserve">   |   </w:t>
      </w:r>
      <w:hyperlink r:id="rId13">
        <w:r>
          <w:rPr>
            <w:color w:val="5B1738"/>
            <w:u w:val="single"/>
          </w:rPr>
          <w:t>Ir ao módulo IV →</w:t>
        </w:r>
      </w:hyperlink>
    </w:p>
    <w:p>
      <w:pPr>
        <w:keepLines/>
      </w:pPr>
      <w:r>
        <w:rPr>
          <w:b/>
        </w:rPr>
        <w:t>Apostila ampliada · revisão de 16 de setembro de 2026.</w:t>
      </w:r>
      <w:r>
        <w:t xml:space="preserve"> Mantém a organização, os conteúdos e os links do módulo no hub, com aprofundamento expositivo, análise normativa e estudos de casos. O roteiro de quatro horas foi redistribuído para incorporar essas atividades. Os dados municipais reproduzem a base do hub consolidada em 23/08/2026.</w:t>
      </w:r>
    </w:p>
    <w:p>
      <w:pPr>
        <w:keepLines/>
      </w:pPr>
      <w:r>
        <w:rPr>
          <w:b w:val="0"/>
        </w:rPr>
        <w:t>Esta formação parte de uma responsabilidade compartilhada: conhecer a lei para reconhecer direitos, identificar riscos e produzir respostas possíveis no território. A leitura jurídica deve dialogar com as condições concretas de vida das mulheres, sem reduzir a proteção à obtenção de uma decisão judicial. Transporte, renda, moradia, cuidado com dependentes e acesso à informação interferem na possibilidade de utilizar os direitos reconhecidos.</w:t>
      </w:r>
    </w:p>
    <w:p>
      <w:pPr>
        <w:pStyle w:val="Heading1"/>
        <w:keepNext/>
        <w:keepLines/>
      </w:pPr>
      <w:r>
        <w:t>Bloco 1 — Da conquista dos direitos à responsabilidade institucional</w:t>
      </w:r>
    </w:p>
    <w:p>
      <w:pPr>
        <w:keepLines/>
      </w:pPr>
      <w:r>
        <w:rPr>
          <w:b w:val="0"/>
        </w:rPr>
        <w:t>Retomar os marcos apresentados no lançamento, deslocando a discussão para sua concretização nos serviços. A construção dos direitos das mulheres está ligada à atuação dos movimentos feministas e de mulheres e à transformação de demandas em responsabilidades públicas.</w:t>
      </w:r>
    </w:p>
    <w:p>
      <w:pPr>
        <w:pStyle w:val="ListBullet"/>
        <w:keepLines/>
      </w:pPr>
      <w:r>
        <w:rPr>
          <w:b w:val="0"/>
        </w:rPr>
        <w:t>Articulação entre prevenção, assistência, proteção e responsabilização.</w:t>
      </w:r>
    </w:p>
    <w:p>
      <w:pPr>
        <w:pStyle w:val="ListBullet"/>
        <w:keepLines/>
      </w:pPr>
      <w:r>
        <w:rPr>
          <w:b w:val="0"/>
        </w:rPr>
        <w:t>Lei Maria da Penha como fundamento de atuação integrada entre políticas públicas.</w:t>
      </w:r>
    </w:p>
    <w:p>
      <w:pPr>
        <w:pStyle w:val="ListBullet"/>
        <w:keepLines/>
      </w:pPr>
      <w:r>
        <w:rPr>
          <w:b w:val="0"/>
        </w:rPr>
        <w:t>Responsabilidades institucionais diante de barreiras de acesso, discriminação e revitimização.</w:t>
      </w:r>
    </w:p>
    <w:p>
      <w:pPr>
        <w:keepLines/>
      </w:pPr>
      <w:r>
        <w:rPr>
          <w:b w:val="0"/>
        </w:rPr>
        <w:t xml:space="preserve">O art. 8º prevê uma política articulada entre União, estados, Distrito Federal, municípios e ações não governamentais. Perguntar: </w:t>
      </w:r>
      <w:r>
        <w:rPr>
          <w:b/>
        </w:rPr>
        <w:t>qual responsabilidade cabe ao meu serviço para que a proteção se efetive?</w:t>
      </w:r>
    </w:p>
    <w:p>
      <w:pPr>
        <w:keepLines/>
      </w:pPr>
      <w:hyperlink r:id="rId14">
        <w:r>
          <w:rPr>
            <w:color w:val="5B1738"/>
            <w:u w:val="single"/>
          </w:rPr>
          <w:t>Lei Maria da Penha · art. 8º ↗</w:t>
        </w:r>
      </w:hyperlink>
    </w:p>
    <w:p>
      <w:pPr>
        <w:keepNext/>
        <w:keepLines/>
      </w:pPr>
      <w:r>
        <w:rPr>
          <w:b/>
        </w:rPr>
        <w:t>Aplicação pedagógica</w:t>
      </w:r>
    </w:p>
    <w:p>
      <w:pPr>
        <w:keepLines/>
      </w:pPr>
      <w:r>
        <w:rPr>
          <w:b w:val="0"/>
        </w:rPr>
        <w:t>Uma mulher percorre três serviços e recebe apenas novos encaminhamentos. Identificar quais necessidades permaneceram sem resposta e quais decisões poderiam ter sido tomadas em cada atendimento.</w:t>
      </w:r>
    </w:p>
    <w:p>
      <w:pPr>
        <w:pStyle w:val="Heading2"/>
        <w:keepLines/>
      </w:pPr>
      <w:r>
        <w:rPr>
          <w:b w:val="0"/>
        </w:rPr>
        <w:t>1.1 Histórico: da violência considerada privada à responsabilidade pública</w:t>
      </w:r>
    </w:p>
    <w:p>
      <w:pPr>
        <w:keepLines/>
      </w:pPr>
      <w:r>
        <w:rPr>
          <w:b w:val="0"/>
        </w:rPr>
        <w:t>A Lei nº 11.340/2006 resulta de um processo de mobilização de movimentos feministas e de mulheres, de reconhecimento constitucional de direitos e de compromissos internacionais assumidos pelo Brasil. Sua compreensão exige abandonar a ideia de que a violência doméstica é um conflito restrito ao casal. Quando a violência compromete a liberdade, a saúde, a integridade e a vida, estão em questão direitos humanos e deveres de atuação do Estado.</w:t>
      </w:r>
    </w:p>
    <w:p>
      <w:pPr>
        <w:keepLines/>
      </w:pPr>
      <w:r>
        <w:rPr>
          <w:b w:val="0"/>
        </w:rPr>
        <w:t>O caso que deu nome à lei tornou visível a distância entre a existência de instituições e a efetividade da justiça. No Relatório nº 54/01, a Comissão Interamericana de Direitos Humanos examinou a violência sofrida por Maria da Penha e a demora da resposta judicial, reconhecendo a responsabilidade estatal e recomendando medidas individuais e estruturais. Trata-se de atuação da Comissão, e não de uma sentença da Corte Interamericana. A lição para os serviços é que a omissão e a demora também precisam ser analisadas como problemas institucionais.</w:t>
      </w:r>
    </w:p>
    <w:p>
      <w:pPr>
        <w:keepLines/>
      </w:pPr>
      <w:hyperlink r:id="rId15">
        <w:r>
          <w:rPr>
            <w:color w:val="5B1738"/>
            <w:u w:val="single"/>
          </w:rPr>
          <w:t>Fonte histórica: CIDH — Relatório nº 54/01, Caso 12.051 (2001)</w:t>
        </w:r>
      </w:hyperlink>
      <w:r>
        <w:t>.</w:t>
      </w:r>
    </w:p>
    <w:p>
      <w:pPr>
        <w:keepLines/>
      </w:pPr>
      <w:r>
        <w:rPr>
          <w:b w:val="0"/>
        </w:rPr>
        <w:t>A Constituição de 1988, especialmente o art. 226, § 8º, e os compromissos internacionais mencionados no art. 1º da Lei Maria da Penha sustentam a criação de mecanismos para coibir a violência. A lei combina prevenção, assistência, proteção e responsabilização. Conhecê-la apenas pelo aspecto penal deixa invisíveis obrigações de saúde, assistência social, educação, habitação e acesso à justiça.</w:t>
      </w:r>
    </w:p>
    <w:p>
      <w:pPr>
        <w:pStyle w:val="Heading2"/>
        <w:keepLines/>
      </w:pPr>
      <w:r>
        <w:rPr>
          <w:b w:val="0"/>
        </w:rPr>
        <w:t>1.2 Como a Lei Maria da Penha está organizada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648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Dispositivos</w:t>
            </w:r>
          </w:p>
        </w:tc>
        <w:tc>
          <w:tcPr>
            <w:tcW w:type="dxa" w:w="764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Questão central para a aula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Arts. 1º a 4º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Finalidade da lei, direitos fundamentais e interpretação orientada pelas condições das mulheres.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Arts. 5º a 7º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Contextos de violência doméstica e familiar e formas de violência.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Arts. 8º e 9º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Prevenção integrada e assistência articulada entre políticas públicas.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Arts. 10 a 12-D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Atendimento policial, procedimentos e hipóteses legais de proteção imediata.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Arts. 18 a 24-A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Concessão e conteúdo de medidas protetivas; crime de descumprimento.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Arts. 25 a 32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Ministério Público, assistência jurídica e atendimento por equipe multidisciplinar.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Arts. 35 e 38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Estruturas de atendimento e produção de informações sobre violência.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Esse mapa orienta a consulta ao texto consolidado. As alterações posteriores devem ser lidas no dispositivo vigente, observando as indicações de redação e evitando tratar trechos revogados como regras atuais.</w:t>
      </w:r>
    </w:p>
    <w:p>
      <w:pPr>
        <w:pStyle w:val="Heading2"/>
        <w:keepLines/>
      </w:pPr>
      <w:r>
        <w:rPr>
          <w:b w:val="0"/>
        </w:rPr>
        <w:t>1.3 Leitura orientada: arts. 5º, 7º e 8º</w:t>
      </w:r>
    </w:p>
    <w:p>
      <w:pPr>
        <w:keepLines/>
      </w:pPr>
      <w:r>
        <w:rPr>
          <w:b/>
        </w:rPr>
        <w:t>Art. 5º — reconhecer o contexto.</w:t>
      </w:r>
      <w:r>
        <w:t xml:space="preserve"> A lei contempla unidade doméstica, família e relação íntima de afeto, inclusive sem coabitação. Assim, o término da relação ou a existência de endereços distintos não afastam, por si, o enquadramento da violência praticada por ex-companheiro. A análise não deve depender de estereótipos sobre qual seria uma família legítima ou sobre como uma mulher deveria agir para merecer proteção.</w:t>
      </w:r>
    </w:p>
    <w:p>
      <w:pPr>
        <w:keepLines/>
      </w:pPr>
      <w:r>
        <w:rPr>
          <w:b/>
        </w:rPr>
        <w:t>Art. 7º — reconhecer as formas.</w:t>
      </w:r>
      <w:r>
        <w:t xml:space="preserve"> A violência pode ser física, psicológica, sexual, patrimonial ou moral. A redação atual inclui também a violência vicária, acrescentada pela Lei nº 15.384/2026: violência contra pessoas vinculadas à mulher com a finalidade de atingi-la. Retenção de documentos, controle de deslocamentos e intimidação não se tornam irrelevantes porque não deixam marcas físicas. As formas podem coexistir; sua identificação orienta necessidades de proteção e não exige que cada profissional formule uma acusação penal.</w:t>
      </w:r>
    </w:p>
    <w:p>
      <w:pPr>
        <w:keepLines/>
      </w:pPr>
      <w:r>
        <w:rPr>
          <w:b/>
        </w:rPr>
        <w:t>Art. 8º — transformar reconhecimento em ação.</w:t>
      </w:r>
      <w:r>
        <w:t xml:space="preserve"> A articulação prevista pela lei envolve justiça, segurança pública e políticas sociais. Um encaminhamento só produz continuidade quando o destino, a finalidade, a forma segura de acesso e o retorno estão definidos. A aula deve perguntar quem permanece responsável enquanto a resposta do outro serviço não chega.</w:t>
      </w:r>
    </w:p>
    <w:p>
      <w:pPr>
        <w:keepLines/>
      </w:pPr>
      <w:r>
        <w:rPr>
          <w:b/>
        </w:rPr>
        <w:t>Exercício de leitura:</w:t>
      </w:r>
      <w:r>
        <w:t xml:space="preserve"> solicitar que cada grupo localize um desses artigos, explique seu sentido em linguagem acessível e apresente uma conduta que o realize no cotidiano. Na devolutiva, distinguir o que está escrito na lei da proposta de organização do serviço construída pelo grupo.</w:t>
      </w:r>
    </w:p>
    <w:p>
      <w:pPr>
        <w:pStyle w:val="Heading1"/>
        <w:keepNext/>
        <w:keepLines/>
      </w:pPr>
      <w:r>
        <w:t>Bloco 2 — Medidas protetivas: acesso, finalidade e acompanhamento</w:t>
      </w:r>
    </w:p>
    <w:p>
      <w:pPr>
        <w:keepLines/>
      </w:pPr>
      <w:r>
        <w:rPr>
          <w:b w:val="0"/>
        </w:rPr>
        <w:t>Distinguir reconhecimento da violência, solicitação de proteção, investigação de um crime e acompanhamento das necessidades da mulher.</w:t>
      </w:r>
    </w:p>
    <w:p>
      <w:pPr>
        <w:pStyle w:val="ListBullet"/>
        <w:keepLines/>
      </w:pPr>
      <w:r>
        <w:rPr>
          <w:b w:val="0"/>
        </w:rPr>
        <w:t>As medidas protetivas podem ser concedidas independentemente de boletim de ocorrência, inquérito policial, ação judicial ou definição da tipificação penal.</w:t>
      </w:r>
    </w:p>
    <w:p>
      <w:pPr>
        <w:pStyle w:val="ListBullet"/>
        <w:keepLines/>
      </w:pPr>
      <w:r>
        <w:rPr>
          <w:b w:val="0"/>
        </w:rPr>
        <w:t>Sua duração está vinculada à persistência do risco.</w:t>
      </w:r>
    </w:p>
    <w:p>
      <w:pPr>
        <w:pStyle w:val="ListBullet"/>
        <w:keepLines/>
      </w:pPr>
      <w:r>
        <w:rPr>
          <w:b w:val="0"/>
        </w:rPr>
        <w:t>A análise protetiva não exige que a mulher apresente previamente um conjunto completo de provas.</w:t>
      </w:r>
    </w:p>
    <w:p>
      <w:pPr>
        <w:pStyle w:val="ListBullet"/>
        <w:keepLines/>
      </w:pPr>
      <w:r>
        <w:rPr>
          <w:b w:val="0"/>
        </w:rPr>
        <w:t>A orientação profissional deve explicar possibilidades de proteção em linguagem compreensível.</w:t>
      </w:r>
    </w:p>
    <w:p>
      <w:pPr>
        <w:keepLines/>
      </w:pPr>
      <w:hyperlink r:id="rId16">
        <w:r>
          <w:rPr>
            <w:color w:val="5B1738"/>
            <w:u w:val="single"/>
          </w:rPr>
          <w:t>Lei nº 14.550/2023 ↗</w:t>
        </w:r>
      </w:hyperlink>
    </w:p>
    <w:p>
      <w:pPr>
        <w:keepLines/>
      </w:pPr>
      <w:r>
        <w:rPr>
          <w:b w:val="0"/>
        </w:rPr>
        <w:t>Estudar as hipóteses de afastamento imediato do agressor e as competências correspondentes, evitando generalizações sobre quem pode determinar cada medida.</w:t>
      </w:r>
    </w:p>
    <w:p>
      <w:pPr>
        <w:keepLines/>
      </w:pPr>
      <w:hyperlink r:id="rId17">
        <w:r>
          <w:rPr>
            <w:color w:val="5B1738"/>
            <w:u w:val="single"/>
          </w:rPr>
          <w:t>Lei nº 13.827/2019 ↗</w:t>
        </w:r>
      </w:hyperlink>
    </w:p>
    <w:p>
      <w:pPr>
        <w:keepNext/>
        <w:keepLines/>
      </w:pPr>
      <w:r>
        <w:rPr>
          <w:b/>
        </w:rPr>
        <w:t>Atualizações para a prática</w:t>
      </w:r>
    </w:p>
    <w:p>
      <w:pPr>
        <w:keepLines/>
      </w:pPr>
      <w:r>
        <w:rPr>
          <w:b/>
        </w:rPr>
        <w:t>Monitoração eletrônica:</w:t>
      </w:r>
      <w:r>
        <w:t xml:space="preserve"> a Lei nº 15.383/2026 a estabeleceu como medida protetiva autônoma e definiu critérios de prioridade.</w:t>
      </w:r>
    </w:p>
    <w:p>
      <w:pPr>
        <w:keepLines/>
      </w:pPr>
      <w:hyperlink r:id="rId18">
        <w:r>
          <w:rPr>
            <w:color w:val="5B1738"/>
            <w:u w:val="single"/>
          </w:rPr>
          <w:t>Lei nº 15.383/2026 ↗</w:t>
        </w:r>
      </w:hyperlink>
    </w:p>
    <w:p>
      <w:pPr>
        <w:keepLines/>
      </w:pPr>
      <w:r>
        <w:rPr>
          <w:b/>
        </w:rPr>
        <w:t>Violência de gênero fora do contexto doméstico:</w:t>
      </w:r>
      <w:r>
        <w:t xml:space="preserve"> o STF reconheceu a aplicação das medidas protetivas nessas situações, conforme o Tema 1.412.</w:t>
      </w:r>
    </w:p>
    <w:p>
      <w:pPr>
        <w:keepLines/>
      </w:pPr>
      <w:hyperlink r:id="rId19">
        <w:r>
          <w:rPr>
            <w:color w:val="5B1738"/>
            <w:u w:val="single"/>
          </w:rPr>
          <w:t>STF · Tema 1.412 ↗</w:t>
        </w:r>
      </w:hyperlink>
    </w:p>
    <w:p>
      <w:pPr>
        <w:keepNext/>
        <w:keepLines/>
      </w:pPr>
      <w:r>
        <w:rPr>
          <w:b/>
        </w:rPr>
        <w:t>Questão para debate</w:t>
      </w:r>
    </w:p>
    <w:p>
      <w:pPr>
        <w:keepLines/>
      </w:pPr>
      <w:r>
        <w:rPr>
          <w:b w:val="0"/>
        </w:rPr>
        <w:t>“Uma mulher relata ameaças e controle, mas ainda não registrou ocorrência. O que o serviço pode fazer agora?”</w:t>
      </w:r>
    </w:p>
    <w:p>
      <w:pPr>
        <w:keepLines/>
      </w:pPr>
      <w:r>
        <w:rPr>
          <w:b/>
        </w:rPr>
        <w:t>Resposta esperada:</w:t>
      </w:r>
      <w:r>
        <w:t xml:space="preserve"> acolhimento, identificação de necessidades urgentes, orientação e acesso à proteção, sem criar a exigência de boletim de ocorrência como condição prévia.</w:t>
      </w:r>
    </w:p>
    <w:p>
      <w:pPr>
        <w:pStyle w:val="Heading2"/>
        <w:keepLines/>
      </w:pPr>
      <w:r>
        <w:rPr>
          <w:b w:val="0"/>
        </w:rPr>
        <w:t>2.1 A finalidade protetiva e a leitura do art. 19</w:t>
      </w:r>
    </w:p>
    <w:p>
      <w:pPr>
        <w:keepLines/>
      </w:pPr>
      <w:r>
        <w:rPr>
          <w:b w:val="0"/>
        </w:rPr>
        <w:t>A medida protetiva responde à necessidade de interromper ou impedir a violência. Sua lógica não é idêntica à de um processo destinado a verificar responsabilidade criminal. A Lei nº 14.550/2023 explicitou, no art. 19, a possibilidade de concessão em cognição sumária a partir do depoimento da mulher à autoridade policial ou de suas alegações escritas, bem como a independência em relação à tipificação penal, ao boletim de ocorrência, ao inquérito e à ação judicial.</w:t>
      </w:r>
    </w:p>
    <w:p>
      <w:pPr>
        <w:keepLines/>
      </w:pPr>
      <w:r>
        <w:rPr>
          <w:b w:val="0"/>
        </w:rPr>
        <w:t>Isso não significa concessão automática ou ausência de apreciação judicial. Significa que a instituição não pode criar, como condição geral de acesso, exigências que a lei dispensou. Na acolhida, cabe explicar possibilidades, registrar o necessário e facilitar o acesso à via competente, sem transformar o atendimento em investigação ou submeter a mulher à obrigação de comprovar antecipadamente todo o ocorrido.</w:t>
      </w:r>
    </w:p>
    <w:p>
      <w:pPr>
        <w:keepLines/>
      </w:pPr>
      <w:r>
        <w:rPr>
          <w:b w:val="0"/>
        </w:rPr>
        <w:t>O § 6º vincula a duração das medidas à persistência do risco. O simples decurso do tempo ou a ausência de um novo boletim não demonstram que o perigo cessou. O acompanhamento precisa considerar mudanças de endereço, perseguição, contatos indiretos, ameaças a familiares e alterações da situação relatadas pela mulher. Sua escuta é parte da avaliação, e não uma formalidade descartável.</w:t>
      </w:r>
    </w:p>
    <w:p>
      <w:pPr>
        <w:pStyle w:val="Heading2"/>
        <w:keepLines/>
      </w:pPr>
      <w:r>
        <w:rPr>
          <w:b w:val="0"/>
        </w:rPr>
        <w:t>2.2 Leitura dos arts. 18, 22, 23 e 24</w:t>
      </w:r>
    </w:p>
    <w:p>
      <w:pPr>
        <w:keepLines/>
      </w:pPr>
      <w:r>
        <w:rPr>
          <w:b w:val="0"/>
        </w:rPr>
        <w:t>O art. 18 estabelece prazo de 48 horas para o juiz, após receber o expediente, conhecer do pedido e decidir sobre as medidas, entre outras providências. Esse prazo não é autorização para os serviços adiarem uma resposta emergencial. Situações de perigo exigem acionamento imediato da proteção disponível, conforme competências e protocolos.</w:t>
      </w:r>
    </w:p>
    <w:p>
      <w:pPr>
        <w:keepLines/>
      </w:pPr>
      <w:r>
        <w:rPr>
          <w:b w:val="0"/>
        </w:rPr>
        <w:t>O art. 22 reúne medidas dirigidas ao agressor, como afastamento do lar, restrição de armas, proibição de aproximação ou contato e outras providências previstas em lei. Os arts. 23 e 24 incluem proteção da mulher e de dependentes e proteção patrimonial. É preciso ler as medidas em conjunto: impedir o contato pode ser insuficiente quando a mulher permanece sem documentos, meios de subsistência ou local seguro.</w:t>
      </w:r>
    </w:p>
    <w:p>
      <w:pPr>
        <w:keepLines/>
      </w:pPr>
      <w:r>
        <w:rPr>
          <w:b w:val="0"/>
        </w:rPr>
        <w:t>A concessão formal inaugura novas tarefas: informar a mulher sobre o conteúdo da decisão, identificar como será cumprida, orientar sobre comunicação de descumprimento e acompanhar as necessidades que persistem. A rede não deve presumir que a emissão de um documento encerrou o risco.</w:t>
      </w:r>
    </w:p>
    <w:p>
      <w:pPr>
        <w:pStyle w:val="Heading2"/>
        <w:keepLines/>
      </w:pPr>
      <w:r>
        <w:rPr>
          <w:b w:val="0"/>
        </w:rPr>
        <w:t>2.3 Quem pode determinar e quem deve executar</w:t>
      </w:r>
    </w:p>
    <w:p>
      <w:pPr>
        <w:keepLines/>
      </w:pPr>
      <w:r>
        <w:rPr>
          <w:b w:val="0"/>
        </w:rPr>
        <w:t>A regra é a apreciação judicial das medidas. O art. 12-C prevê hipóteses específicas de afastamento imediato, com competências excepcionais para delegado e policial nas condições estabelecidas no próprio dispositivo. Essas exceções não autorizam qualquer serviço ou agente a aplicar indistintamente todas as medidas. A análise deve identificar a hipótese legal, a autoridade competente e os prazos de comunicação e controle judicial.</w:t>
      </w:r>
    </w:p>
    <w:p>
      <w:pPr>
        <w:keepLines/>
      </w:pPr>
      <w:r>
        <w:rPr>
          <w:b w:val="0"/>
        </w:rPr>
        <w:t>A Lei nº 15.383/2026 atualizou a monitoração eletrônica e sua articulação com mecanismos de alerta. A prioridade legal em situações de descumprimento anterior ou risco iminente exige leitura do art. 22 atualizado. A tecnologia precisa estar ligada a uma resposta operacional: quem recebe o alerta, quem intervém e como a mulher acessa ajuda com segurança. Não se pode prometer disponibilidade local sem conferir o funcionamento da rede.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648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Instituição ou política</w:t>
            </w:r>
          </w:p>
        </w:tc>
        <w:tc>
          <w:tcPr>
            <w:tcW w:type="dxa" w:w="764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Responsabilidade a trabalhar na formação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Saúde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Atender necessidades clínicas e psicossociais, registrar e realizar notificações e comunicações cabíveis; articular proteção sem condicionar o cuidado ao BO.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Assistência social e serviços especializados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Acolher, acompanhar necessidades e acesso a direitos e articular proteção social conforme atribuições; não substituir investigação ou decisão judicial.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Segurança pública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Atender emergências, adotar providências policiais e encaminhar pedidos de proteção; cumprir e fiscalizar decisões conforme competências.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Judiciário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Apreciar medidas e outras providências judiciais, fundamentar decisões e reavaliar proteção à luz do risco.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Ministério Público e Defensoria/assistência jurídica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Atuar nas respectivas competências de defesa da ordem jurídica, promoção de responsabilização e garantia de orientação e defesa de direitos.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Gestão municipal e regional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Organizar fluxos, transporte e referências; definir responsáveis, pactuar comunicação segura e monitorar lacunas de atendimento.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/>
        </w:rPr>
        <w:t>Pergunta de aplicação:</w:t>
      </w:r>
      <w:r>
        <w:t xml:space="preserve"> se a mulher recebeu uma medida, mas não consegue chegar ao serviço de referência, qual barreira permanece e quem pode agir sobre ela? A resposta deve nomear uma providência concreta, um responsável e uma forma de verificar sua realização.</w:t>
      </w:r>
    </w:p>
    <w:p>
      <w:pPr>
        <w:pStyle w:val="Heading1"/>
        <w:keepNext/>
        <w:keepLines/>
      </w:pPr>
      <w:r>
        <w:t>Bloco 3 — Feminicídio, avaliação de risco e prevenção</w:t>
      </w:r>
    </w:p>
    <w:p>
      <w:pPr>
        <w:keepNext/>
        <w:keepLines/>
      </w:pPr>
      <w:r>
        <w:rPr>
          <w:b/>
        </w:rPr>
        <w:t>Atualização da proposta pedagógica</w:t>
      </w:r>
    </w:p>
    <w:p>
      <w:pPr>
        <w:keepLines/>
      </w:pPr>
      <w:r>
        <w:rPr>
          <w:b w:val="0"/>
        </w:rPr>
        <w:t xml:space="preserve">Desde a Lei nº 14.994/2024, o feminicídio é </w:t>
      </w:r>
      <w:r>
        <w:rPr>
          <w:b/>
        </w:rPr>
        <w:t>crime autônomo</w:t>
      </w:r>
      <w:r>
        <w:t>. A antiga qualificadora deve ser abordada na contextualização histórica.</w:t>
      </w:r>
    </w:p>
    <w:p>
      <w:pPr>
        <w:keepLines/>
      </w:pPr>
      <w:r>
        <w:rPr>
          <w:b w:val="0"/>
        </w:rPr>
        <w:t>Diferenciar homicídio de mulher e feminicídio: neste último, a definição legal envolve razões da condição do sexo feminino, caracterizadas por violência doméstica e familiar ou menosprezo ou discriminação à condição de mulher.</w:t>
      </w:r>
    </w:p>
    <w:p>
      <w:pPr>
        <w:keepLines/>
      </w:pPr>
      <w:hyperlink r:id="rId20">
        <w:r>
          <w:rPr>
            <w:color w:val="5B1738"/>
            <w:u w:val="single"/>
          </w:rPr>
          <w:t>Lei nº 14.994/2024 ↗</w:t>
        </w:r>
      </w:hyperlink>
    </w:p>
    <w:p>
      <w:pPr>
        <w:pStyle w:val="ListBullet"/>
        <w:keepLines/>
      </w:pPr>
      <w:r>
        <w:rPr>
          <w:b w:val="0"/>
        </w:rPr>
        <w:t>Como mudanças na situação relatada exigem reavaliação da resposta?</w:t>
      </w:r>
    </w:p>
    <w:p>
      <w:pPr>
        <w:pStyle w:val="ListBullet"/>
        <w:keepLines/>
      </w:pPr>
      <w:r>
        <w:rPr>
          <w:b w:val="0"/>
        </w:rPr>
        <w:t>Como registrar informações relevantes sem transformar a acolhida em interrogatório?</w:t>
      </w:r>
    </w:p>
    <w:p>
      <w:pPr>
        <w:pStyle w:val="ListBullet"/>
        <w:keepLines/>
      </w:pPr>
      <w:r>
        <w:rPr>
          <w:b w:val="0"/>
        </w:rPr>
        <w:t>Quem precisa ser acionado e como verificar se houve resposta?</w:t>
      </w:r>
    </w:p>
    <w:p>
      <w:pPr>
        <w:pStyle w:val="ListBullet"/>
        <w:keepLines/>
      </w:pPr>
      <w:r>
        <w:rPr>
          <w:b w:val="0"/>
        </w:rPr>
        <w:t>Como evitar que uma medida formal seja confundida com proteção já efetivada?</w:t>
      </w:r>
    </w:p>
    <w:p>
      <w:pPr>
        <w:keepLines/>
      </w:pPr>
      <w:r>
        <w:rPr>
          <w:b w:val="0"/>
        </w:rPr>
        <w:t xml:space="preserve">Apresentar a finalidade do </w:t>
      </w:r>
      <w:r>
        <w:rPr>
          <w:b/>
        </w:rPr>
        <w:t>Formulário Nacional de Avaliação de Risco</w:t>
      </w:r>
      <w:r>
        <w:t xml:space="preserve"> e sua utilização conforme atribuições e protocolos. A atividade não cria pontuação própria nem substitui instrumentos oficiais.</w:t>
      </w:r>
    </w:p>
    <w:p>
      <w:pPr>
        <w:keepLines/>
      </w:pPr>
      <w:hyperlink r:id="rId21">
        <w:r>
          <w:rPr>
            <w:color w:val="5B1738"/>
            <w:u w:val="single"/>
          </w:rPr>
          <w:t>Lei nº 14.149/2021 ↗</w:t>
        </w:r>
      </w:hyperlink>
    </w:p>
    <w:p>
      <w:pPr>
        <w:pStyle w:val="Heading2"/>
        <w:keepLines/>
      </w:pPr>
      <w:r>
        <w:rPr>
          <w:b w:val="0"/>
        </w:rPr>
        <w:t>3.1 Feminicídio: reconhecer a dimensão de gênero</w:t>
      </w:r>
    </w:p>
    <w:p>
      <w:pPr>
        <w:keepLines/>
      </w:pPr>
      <w:r>
        <w:rPr>
          <w:b w:val="0"/>
        </w:rPr>
        <w:t>O feminicídio nomeia uma forma de violência letal relacionada à condição de mulher. Sua compreensão exige examinar relações de poder, controle, discriminação e desvalorização da autonomia feminina. No trabalho da rede, essa perspectiva impede que ameaças e perseguições sejam naturalizadas como ciúme ou conflitos amorosos. Ela também evita que a discussão se encerre na conduta individual, sem examinar oportunidades institucionais de prevenção e proteção.</w:t>
      </w:r>
    </w:p>
    <w:p>
      <w:pPr>
        <w:keepLines/>
      </w:pPr>
      <w:r>
        <w:rPr>
          <w:b w:val="0"/>
        </w:rPr>
        <w:t>No plano jurídico, nem todo homicídio cuja vítima é mulher recebe automaticamente a classificação de feminicídio. É necessário apurar os elementos previstos em lei. Em sentido inverso, a falta de classificação definitiva no início da investigação não autoriza desconsiderar a dimensão de gênero nem adiar ações protetivas. A equipe que acolhe registra informações relevantes e aciona as atribuições competentes; não precisa aguardar o encerramento de uma investigação para cuidar.</w:t>
      </w:r>
    </w:p>
    <w:p>
      <w:pPr>
        <w:pStyle w:val="Heading2"/>
        <w:keepLines/>
      </w:pPr>
      <w:r>
        <w:rPr>
          <w:b w:val="0"/>
        </w:rPr>
        <w:t>3.2 Da qualificadora ao crime autônomo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648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Marco</w:t>
            </w:r>
          </w:p>
        </w:tc>
        <w:tc>
          <w:tcPr>
            <w:tcW w:type="dxa" w:w="764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Conteúdo e implicação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Lei nº 13.104/2015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Introduziu o feminicídio como qualificadora do homicídio. O estudo desse regime é necessário para compreender a formulação do plano pedagógico e decisões sobre fatos anteriores à mudança.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Lei nº 14.994/2024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Instituiu o feminicídio como crime autônomo no art. 121-A do Código Penal, com pena de reclusão de 20 a 40 anos, e manteve sua inclusão no rol de crimes hediondos.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Aplicação no tempo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 lei penal mais gravosa não retroage. A data do fato e o regime aplicável precisam ser considerados na análise de casos; não se transporta automaticamente a pena atual para fatos anteriores.</w:t>
            </w:r>
          </w:p>
        </w:tc>
      </w:tr>
    </w:tbl>
    <w:p>
      <w:pPr>
        <w:keepLines/>
        <w:spacing w:after="0"/>
      </w:pPr>
    </w:p>
    <w:p>
      <w:pPr>
        <w:keepLines/>
      </w:pPr>
      <w:hyperlink r:id="rId22">
        <w:r>
          <w:rPr>
            <w:color w:val="5B1738"/>
            <w:u w:val="single"/>
          </w:rPr>
          <w:t>Leitura histórica: Lei nº 13.104/2015</w:t>
        </w:r>
      </w:hyperlink>
      <w:r>
        <w:t xml:space="preserve"> · </w:t>
      </w:r>
      <w:hyperlink r:id="rId23">
        <w:r>
          <w:rPr>
            <w:color w:val="5B1738"/>
            <w:u w:val="single"/>
          </w:rPr>
          <w:t>Leitura atual: Código Penal, arts. 2º, 14 e 121-A</w:t>
        </w:r>
      </w:hyperlink>
      <w:r>
        <w:t>.</w:t>
      </w:r>
    </w:p>
    <w:p>
      <w:pPr>
        <w:keepLines/>
      </w:pPr>
      <w:r>
        <w:rPr>
          <w:b w:val="0"/>
        </w:rPr>
        <w:t xml:space="preserve">O conteúdo obrigatório do plano, “feminicídio como qualificador e suas implicações”, será contemplado como percurso histórico e jurídico. Na apresentação do direito vigente, deve-se utilizar a expressão </w:t>
      </w:r>
      <w:r>
        <w:rPr>
          <w:b/>
        </w:rPr>
        <w:t>crime autônomo</w:t>
      </w:r>
      <w:r>
        <w:t>. A atualização preserva o objetivo formativo do plano e evita ensinar uma classificação superada como regra atual.</w:t>
      </w:r>
    </w:p>
    <w:p>
      <w:pPr>
        <w:keepLines/>
      </w:pPr>
      <w:r>
        <w:rPr>
          <w:b/>
        </w:rPr>
        <w:t>Leitura do art. 121-A:</w:t>
      </w:r>
      <w:r>
        <w:t xml:space="preserve"> o tipo penal trata de matar mulher por razões da condição do sexo feminino. O § 1º caracteriza essas razões quando o crime envolve violência doméstica e familiar ou menosprezo ou discriminação à condição de mulher. São hipóteses alternativas previstas na lei. A aula deve localizar esses elementos no texto e discutir por que a identificação depende de análise do contexto, e não apenas do sexo registrado da vítima.</w:t>
      </w:r>
    </w:p>
    <w:p>
      <w:pPr>
        <w:keepLines/>
      </w:pPr>
      <w:r>
        <w:rPr>
          <w:b w:val="0"/>
        </w:rPr>
        <w:t>A lei prevê causas de aumento em situações especificadas no dispositivo. A leitura deve separar o tipo básico, a pena e as hipóteses de aumento, evitando somas intuitivas ou conclusões sobre uma pena concreta sem processo e fundamentação. O reconhecimento do crime como hediondo produz consequências no regime jurídico, mas não substitui a prevenção nem demonstra, isoladamente, capacidade protetiva no território.</w:t>
      </w:r>
    </w:p>
    <w:p>
      <w:pPr>
        <w:keepLines/>
      </w:pPr>
      <w:r>
        <w:rPr>
          <w:b w:val="0"/>
        </w:rPr>
        <w:t>A tentativa exige os requisitos do art. 14, II, do Código Penal: início de execução e não consumação por circunstâncias alheias à vontade do agente. Não cabe converter toda ameaça ou lesão em tentativa de feminicídio por suposição. Tampouco se deve minimizar uma possível tentativa apenas porque a mulher sobreviveu. A qualificação exige apuração competente, enquanto o cuidado e a avaliação de risco precisam ocorrer desde o atendimento.</w:t>
      </w:r>
    </w:p>
    <w:p>
      <w:pPr>
        <w:pStyle w:val="Heading2"/>
        <w:keepLines/>
      </w:pPr>
      <w:r>
        <w:rPr>
          <w:b w:val="0"/>
        </w:rPr>
        <w:t>3.3 Prevenção: o que a rede precisa enxergar antes da morte</w:t>
      </w:r>
    </w:p>
    <w:p>
      <w:pPr>
        <w:keepLines/>
      </w:pPr>
      <w:r>
        <w:rPr>
          <w:b w:val="0"/>
        </w:rPr>
        <w:t>A prevenção demanda atenção às informações que a própria mulher apresenta: escalada da violência, ameaças de morte, perseguição, controle de circulação, acesso do agressor a armas e descumprimento de medidas, entre outras situações previstas nos instrumentos oficiais de avaliação. Nenhum sinal isolado permite prever com certeza o desfecho, e a ausência de sinais conhecidos não assegura inexistência de risco.</w:t>
      </w:r>
    </w:p>
    <w:p>
      <w:pPr>
        <w:keepLines/>
      </w:pPr>
      <w:r>
        <w:rPr>
          <w:b w:val="0"/>
        </w:rPr>
        <w:t>O Formulário Nacional de Avaliação de Risco, instituído pela Lei nº 14.149/2021, apoia a identificação e a gestão do risco. Seu uso deve observar atribuições, capacitação, sigilo e protocolos. A atividade formativa não autoriza criar uma escala própria nem reduzir a escuta a uma pontuação. O resultado precisa orientar decisões e articulações; preenchimento sem resposta institucional não realiza proteção.</w:t>
      </w:r>
    </w:p>
    <w:p>
      <w:pPr>
        <w:keepLines/>
      </w:pPr>
      <w:r>
        <w:rPr>
          <w:b w:val="0"/>
        </w:rPr>
        <w:t>Na prática, perguntar sobre uma forma segura de contato, verificar necessidades imediatas e combinar os próximos passos pode revelar obstáculos que não aparecem na classificação jurídica. Uma mulher pode necessitar de transporte protegido, abrigo, cuidado de dependentes ou orientação jurídica. Esses elementos integram a prevenção ao permitir que a proteção seja efetivamente acessada.</w:t>
      </w:r>
    </w:p>
    <w:p>
      <w:pPr>
        <w:pStyle w:val="Heading2"/>
        <w:keepLines/>
      </w:pPr>
      <w:r>
        <w:rPr>
          <w:b w:val="0"/>
        </w:rPr>
        <w:t>3.4 Os pactos contra o feminicídio e sua relação com a legislação</w:t>
      </w:r>
    </w:p>
    <w:p>
      <w:pPr>
        <w:keepLines/>
      </w:pPr>
      <w:r>
        <w:rPr>
          <w:b w:val="0"/>
        </w:rPr>
        <w:t xml:space="preserve">O </w:t>
      </w:r>
      <w:r>
        <w:rPr>
          <w:b/>
        </w:rPr>
        <w:t>Pacto Nacional de Prevenção aos Feminicídios</w:t>
      </w:r>
      <w:r>
        <w:t>, instituído pelo Decreto nº 11.640/2023, organiza uma perspectiva intersetorial e interseccional. Articula prevenção primária, secundária e terciária: enfrentar condições sociais que sustentam a violência; intervir precocemente para impedir repetição e agravamento; e reduzir efeitos, assegurar direitos e produzir respostas para vítimas diretas e indiretas.</w:t>
      </w:r>
    </w:p>
    <w:p>
      <w:pPr>
        <w:keepLines/>
      </w:pPr>
      <w:r>
        <w:rPr>
          <w:b w:val="0"/>
        </w:rPr>
        <w:t xml:space="preserve">O </w:t>
      </w:r>
      <w:r>
        <w:rPr>
          <w:b/>
        </w:rPr>
        <w:t>Pacto Brasil entre os Três Poderes para Enfrentamento do Feminicídio</w:t>
      </w:r>
      <w:r>
        <w:t>, lançado em fevereiro de 2026, acrescenta uma agenda de articulação entre Executivo, Legislativo e Judiciário. O Decreto nº 12.839/2026 instituiu seu Comitê Interinstitucional de Gestão, responsável por diretrizes, articulação, monitoramento e relatórios anuais. Esses instrumentos devem integrar a atualização normativa do módulo, com sua natureza corretamente identificada: um pacto de articulação e atos de governança não equivalem à criação de um tipo penal.</w:t>
      </w:r>
    </w:p>
    <w:p>
      <w:pPr>
        <w:keepLines/>
      </w:pPr>
      <w:hyperlink r:id="rId24">
        <w:r>
          <w:rPr>
            <w:color w:val="5B1738"/>
            <w:u w:val="single"/>
          </w:rPr>
          <w:t>Decreto nº 11.640/2023</w:t>
        </w:r>
      </w:hyperlink>
      <w:r>
        <w:t xml:space="preserve"> · </w:t>
      </w:r>
      <w:hyperlink r:id="rId25">
        <w:r>
          <w:rPr>
            <w:color w:val="5B1738"/>
            <w:u w:val="single"/>
          </w:rPr>
          <w:t>Decreto nº 12.839/2026</w:t>
        </w:r>
      </w:hyperlink>
      <w:r>
        <w:t xml:space="preserve"> · </w:t>
      </w:r>
      <w:hyperlink r:id="rId26">
        <w:r>
          <w:rPr>
            <w:color w:val="5B1738"/>
            <w:u w:val="single"/>
          </w:rPr>
          <w:t>Senado: articulação dos Poderes e ações do pacto de 2026</w:t>
        </w:r>
      </w:hyperlink>
      <w:r>
        <w:t>.</w:t>
      </w:r>
    </w:p>
    <w:p>
      <w:pPr>
        <w:keepLines/>
      </w:pPr>
      <w:r>
        <w:rPr>
          <w:b w:val="0"/>
        </w:rPr>
        <w:t>A Lei nº 14.899/2024 conecta a discussão ao planejamento dos entes federativos. Prevê prioridade à elaboração e implementação de planos de metas, com duração decenal e atualização bienal, e definição de órgão responsável pelo monitoramento e pela coordenação das redes. O texto contempla formação integrada, qualificação continuada, campanhas e articulação, observadas as competências de cada ente; a redação atual também incorpora alterações de 2026 sobre monitoração.</w:t>
      </w:r>
    </w:p>
    <w:p>
      <w:pPr>
        <w:keepLines/>
      </w:pPr>
      <w:hyperlink r:id="rId27">
        <w:r>
          <w:rPr>
            <w:color w:val="5B1738"/>
            <w:u w:val="single"/>
          </w:rPr>
          <w:t>Lei nº 14.899/2024 — planos de metas e redes de enfrentamento</w:t>
        </w:r>
      </w:hyperlink>
      <w: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648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Dimensão</w:t>
            </w:r>
          </w:p>
        </w:tc>
        <w:tc>
          <w:tcPr>
            <w:tcW w:type="dxa" w:w="764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Aplicação pedagógica no município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Prevenção primária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Identificar ações educativas contínuas, formação e enfrentamento de estereótipos. Perguntar quem participa e como o alcance será acompanhado.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Prevenção secundária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Revisar portas de entrada, avaliação de risco, acesso às medidas e resposta a descumprimentos. Examinar tempos e obstáculos de atendimento.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Prevenção terciária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Articular acompanhamento de sobreviventes e familiares, proteção social e acesso à justiça, evitando abandono após o episódio agudo.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Governança e monitoramento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Definir responsáveis, pactuar fluxos e verificar resultados. Conferir documentos locais antes de afirmar adesão, financiamento ou execução de ações.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/>
        </w:rPr>
        <w:t>Discussão:</w:t>
      </w:r>
      <w:r>
        <w:t xml:space="preserve"> qual compromisso pode ser traduzido em uma ação local com responsável, prazo e evidência de execução? As propostas dos grupos são exercícios de planejamento; não comprovam adesão dos municípios ao pacto nem disponibilidade de recursos.</w:t>
      </w:r>
    </w:p>
    <w:p>
      <w:pPr>
        <w:pStyle w:val="Heading1"/>
        <w:keepNext/>
        <w:keepLines/>
      </w:pPr>
      <w:r>
        <w:t>Bloco 4 — Direitos específicos e procedimentos que não podem ser confundidos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685"/>
        <w:gridCol w:w="4700"/>
      </w:tblGrid>
      <w:tr>
        <w:trPr>
          <w:cantSplit/>
          <w:tblHeader/>
        </w:trPr>
        <w:tc>
          <w:tcPr>
            <w:tcW w:type="dxa" w:w="181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Tema</w:t>
            </w:r>
          </w:p>
        </w:tc>
        <w:tc>
          <w:tcPr>
            <w:tcW w:type="dxa" w:w="3685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Conteúdo</w:t>
            </w:r>
          </w:p>
        </w:tc>
        <w:tc>
          <w:tcPr>
            <w:tcW w:type="dxa" w:w="4700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Implicação prática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Violência sexual</w:t>
            </w:r>
          </w:p>
        </w:tc>
        <w:tc>
          <w:tcPr>
            <w:tcW w:type="dxa" w:w="3685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Atendimento emergencial, integral e multidisciplinar previsto na Lei nº 12.845/2013.</w:t>
            </w:r>
          </w:p>
        </w:tc>
        <w:tc>
          <w:tcPr>
            <w:tcW w:type="dxa" w:w="47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Organizar o acesso ao cuidado sem fazer a mulher percorrer previamente outros serviços.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Meninas e adolescentes</w:t>
            </w:r>
          </w:p>
        </w:tc>
        <w:tc>
          <w:tcPr>
            <w:tcW w:type="dxa" w:w="3685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Proteção integral; distinção entre escuta especializada e depoimento especial.</w:t>
            </w:r>
          </w:p>
        </w:tc>
        <w:tc>
          <w:tcPr>
            <w:tcW w:type="dxa" w:w="4700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Evitar perguntas repetitivas, investigativas ou desnecessárias ao atendimento.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Registros e comunicações</w:t>
            </w:r>
          </w:p>
        </w:tc>
        <w:tc>
          <w:tcPr>
            <w:tcW w:type="dxa" w:w="3685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Prontuário, notificação sanitária, comunicação à autoridade policial e boletim de ocorrência.</w:t>
            </w:r>
          </w:p>
        </w:tc>
        <w:tc>
          <w:tcPr>
            <w:tcW w:type="dxa" w:w="47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Identificar finalidade, responsável, destinatário e regras de cada procedimento.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Informação à mulher</w:t>
            </w:r>
          </w:p>
        </w:tc>
        <w:tc>
          <w:tcPr>
            <w:tcW w:type="dxa" w:w="3685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Explicação dos próximos passos e dos limites do sigilo.</w:t>
            </w:r>
          </w:p>
        </w:tc>
        <w:tc>
          <w:tcPr>
            <w:tcW w:type="dxa" w:w="4700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Evitar promessas de confidencialidade absoluta ou compartilhamentos indiscriminados.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A Lei nº 13.931/2019 prevê comunicação à autoridade policial, em 24 horas, dos casos com indícios ou confirmação de violência contra a mulher atendida em serviços de saúde. Isso não torna notificação sanitária e boletim de ocorrência procedimentos equivalentes.</w:t>
      </w:r>
    </w:p>
    <w:p>
      <w:pPr>
        <w:keepLines/>
      </w:pPr>
      <w:hyperlink r:id="rId28">
        <w:r>
          <w:rPr>
            <w:color w:val="5B1738"/>
            <w:u w:val="single"/>
          </w:rPr>
          <w:t>Lei nº 12.845/2013 ↗</w:t>
        </w:r>
      </w:hyperlink>
    </w:p>
    <w:p>
      <w:pPr>
        <w:keepLines/>
      </w:pPr>
      <w:hyperlink r:id="rId29">
        <w:r>
          <w:rPr>
            <w:color w:val="5B1738"/>
            <w:u w:val="single"/>
          </w:rPr>
          <w:t>Lei nº 13.431/2017 ↗</w:t>
        </w:r>
      </w:hyperlink>
    </w:p>
    <w:p>
      <w:pPr>
        <w:keepLines/>
      </w:pPr>
      <w:hyperlink r:id="rId30">
        <w:r>
          <w:rPr>
            <w:color w:val="5B1738"/>
            <w:u w:val="single"/>
          </w:rPr>
          <w:t>Lei nº 13.931/2019 ↗</w:t>
        </w:r>
      </w:hyperlink>
    </w:p>
    <w:p>
      <w:pPr>
        <w:pStyle w:val="Heading2"/>
        <w:keepLines/>
      </w:pPr>
      <w:r>
        <w:rPr>
          <w:b w:val="0"/>
        </w:rPr>
        <w:t>4.1 A proteção também se realiza no modo de atender</w:t>
      </w:r>
    </w:p>
    <w:p>
      <w:pPr>
        <w:keepLines/>
      </w:pPr>
      <w:r>
        <w:rPr>
          <w:b w:val="0"/>
        </w:rPr>
        <w:t>O atendimento à violência sexual previsto na Lei nº 12.845/2013 é emergencial, integral e multidisciplinar. A procura por uma unidade de saúde não deve converter-se em uma peregrinação para conseguir documentos antes do cuidado. A equipe precisa oferecer informação compreensível, avaliar necessidades e organizar a continuidade conforme protocolos clínicos e competências da rede.</w:t>
      </w:r>
    </w:p>
    <w:p>
      <w:pPr>
        <w:keepLines/>
      </w:pPr>
      <w:r>
        <w:rPr>
          <w:b w:val="0"/>
        </w:rPr>
        <w:t>Quando há meninas e adolescentes, a Lei nº 13.431/2017 exige atenção à proteção e à não repetição desnecessária do relato. Escuta especializada é realizada no âmbito da rede de proteção e limitada ao necessário para sua finalidade; depoimento especial é procedimento perante autoridade policial ou judiciária. A acolhida não deve reproduzir um interrogatório nem buscar detalhes cuja finalidade seja exclusivamente probatória.</w:t>
      </w:r>
    </w:p>
    <w:p>
      <w:pPr>
        <w:keepLines/>
      </w:pPr>
      <w:r>
        <w:rPr>
          <w:b w:val="0"/>
        </w:rPr>
        <w:t>Prontuário, notificação sanitária, comunicação policial e boletim de ocorrência têm finalidades distintas. O prontuário documenta o atendimento; a notificação atende à vigilância em saúde; a comunicação à autoridade policial segue hipóteses e deveres legais; o BO formaliza o registro policial. A obrigação de um procedimento não autoriza compartilhamento indiscriminado de todo o conteúdo dos demais.</w:t>
      </w:r>
    </w:p>
    <w:p>
      <w:pPr>
        <w:keepLines/>
      </w:pPr>
      <w:r>
        <w:rPr>
          <w:b w:val="0"/>
        </w:rPr>
        <w:t>Explicar à mulher os próximos passos e os limites do sigilo é parte da responsabilidade profissional. O registro deve separar informação relatada, observação da equipe e providência adotada. Na articulação entre serviços, compartilhar o necessário à finalidade legítima, pelos canais institucionais adequados, protege direitos e evita exposição desnecessária.</w:t>
      </w:r>
    </w:p>
    <w:p>
      <w:pPr>
        <w:pStyle w:val="Heading2"/>
        <w:keepLines/>
      </w:pPr>
      <w:r>
        <w:rPr>
          <w:b w:val="0"/>
        </w:rPr>
        <w:t>Estudos de casos jurídicos reais · nomes preservados</w:t>
      </w:r>
    </w:p>
    <w:p>
      <w:pPr>
        <w:keepLines/>
      </w:pPr>
      <w:r>
        <w:rPr>
          <w:b w:val="0"/>
        </w:rPr>
        <w:t>Os relatos abaixo são sínteses de fontes oficiais, sem identificação nominal das pessoas envolvidas. Não se acrescentam fatos ausentes das fontes. Os links permitem verificar as decisões e podem conter identificações processuais; na apresentação e nos exercícios, utilizar somente “mulher”, “acusado” ou “requerente”.</w:t>
      </w:r>
    </w:p>
    <w:p>
      <w:pPr>
        <w:pStyle w:val="Heading2"/>
        <w:keepLines/>
      </w:pPr>
      <w:r>
        <w:rPr>
          <w:b w:val="0"/>
        </w:rPr>
        <w:t>Caso A — qualificadoras no regime anterior à Lei nº 14.994/2024</w:t>
      </w:r>
    </w:p>
    <w:p>
      <w:pPr>
        <w:keepLines/>
      </w:pPr>
      <w:r>
        <w:rPr>
          <w:b w:val="0"/>
        </w:rPr>
        <w:t>No HC 430.222/MG, julgado em 15/03/2018, a defesa de um acusado pronunciado por homicídio questionou a coexistência das qualificadoras do motivo torpe e do feminicídio. Sustentou que o inconformismo com o término da relação já integraria a segunda qualificadora. A Quinta Turma do STJ não conheceu do habeas corpus e, ao examinar eventual ilegalidade, considerou possível a coexistência: o motivo torpe tinha caráter subjetivo e o feminicídio, naquele entendimento, natureza objetiva. Foram preservadas as qualificadoras para apreciação pelo Tribunal do Júri.</w:t>
      </w:r>
    </w:p>
    <w:p>
      <w:pPr>
        <w:keepLines/>
      </w:pPr>
      <w:hyperlink r:id="rId31">
        <w:r>
          <w:rPr>
            <w:color w:val="5B1738"/>
            <w:u w:val="single"/>
          </w:rPr>
          <w:t>Fonte: STJ, inteiro teor do HC 430.222/MG, DJe de 22/03/2018</w:t>
        </w:r>
      </w:hyperlink>
      <w:r>
        <w:t>.</w:t>
      </w:r>
    </w:p>
    <w:p>
      <w:pPr>
        <w:keepLines/>
      </w:pPr>
      <w:r>
        <w:rPr>
          <w:b/>
        </w:rPr>
        <w:t>Perguntas:</w:t>
      </w:r>
      <w:r>
        <w:t xml:space="preserve"> qual era o regime legal? O que diferencia pronúncia de condenação? Por que o caso não deve ser apresentado como aplicação do atual art. 121-A? Como evitar que o término da relação seja usado para responsabilizar a mulher pela violência?</w:t>
      </w:r>
    </w:p>
    <w:p>
      <w:pPr>
        <w:keepLines/>
      </w:pPr>
      <w:r>
        <w:rPr>
          <w:b/>
        </w:rPr>
        <w:t>Chaves para a facilitação:</w:t>
      </w:r>
      <w:r>
        <w:t xml:space="preserve"> localizar 2018 na trajetória normativa; reconhecer a pronúncia como decisão de submissão ao júri, sem tratá-la como condenação definitiva; explicar a alteração de 2024; discutir criticamente a naturalização da posse sobre a vida da mulher. A comparação histórica não autoriza transportar automaticamente a construção sobre duas qualificadoras para o crime autônomo atual.</w:t>
      </w:r>
    </w:p>
    <w:p>
      <w:pPr>
        <w:pStyle w:val="Heading2"/>
        <w:keepLines/>
      </w:pPr>
      <w:r>
        <w:rPr>
          <w:b w:val="0"/>
        </w:rPr>
        <w:t>Caso B — revogação de medidas sem escuta da mulher</w:t>
      </w:r>
    </w:p>
    <w:p>
      <w:pPr>
        <w:keepLines/>
      </w:pPr>
      <w:r>
        <w:rPr>
          <w:b w:val="0"/>
        </w:rPr>
        <w:t>Em notícia de 17/06/2025, o Ministério Público de Goiás relatou decisão do STJ que restabeleceu medidas protetivas anteriormente revogadas em processo de Goiânia. Segundo o relato institucional, a revogação havia ocorrido sem prévia oitiva das partes, após mais de um ano de vigência. A decisão determinou a oitiva da mulher e nova avaliação da necessidade da proteção. A fonte relaciona o caso ao Tema 1.249 do STJ, que vincula a duração das medidas à persistência do risco.</w:t>
      </w:r>
    </w:p>
    <w:p>
      <w:pPr>
        <w:keepLines/>
      </w:pPr>
      <w:hyperlink r:id="rId32">
        <w:r>
          <w:rPr>
            <w:color w:val="5B1738"/>
            <w:u w:val="single"/>
          </w:rPr>
          <w:t>Fonte: MPGO — restabelecimento de medidas protetivas pelo STJ</w:t>
        </w:r>
      </w:hyperlink>
      <w:r>
        <w:t>.</w:t>
      </w:r>
    </w:p>
    <w:p>
      <w:pPr>
        <w:keepLines/>
      </w:pPr>
      <w:r>
        <w:rPr>
          <w:b/>
        </w:rPr>
        <w:t>Perguntas:</w:t>
      </w:r>
      <w:r>
        <w:t xml:space="preserve"> o que a passagem do tempo permite concluir? Quais informações seriam relevantes à reavaliação? Como ouvir a mulher sem exigir repetição de todos os detalhes da violência? Qual resposta o serviço pode oferecer enquanto se organiza o acesso à justiça?</w:t>
      </w:r>
    </w:p>
    <w:p>
      <w:pPr>
        <w:keepLines/>
      </w:pPr>
      <w:r>
        <w:rPr>
          <w:b/>
        </w:rPr>
        <w:t>Chaves para a facilitação:</w:t>
      </w:r>
      <w:r>
        <w:t xml:space="preserve"> distinguir ausência de registro recente e cessação do risco; relacionar a decisão ao art. 19, § 6º; propor escuta centrada na situação atual e articulação segura. Não inventar circunstâncias da violência que a notícia não informa. A aprendizagem central é fundamentar a continuidade ou reavaliação da proteção, evitando encerramentos automáticos.</w:t>
      </w:r>
    </w:p>
    <w:p>
      <w:pPr>
        <w:pStyle w:val="Heading2"/>
        <w:keepLines/>
      </w:pPr>
      <w:r>
        <w:rPr>
          <w:b w:val="0"/>
        </w:rPr>
        <w:t>Discussão dos desafios na aplicação das leis</w:t>
      </w:r>
    </w:p>
    <w:p>
      <w:pPr>
        <w:keepLines/>
      </w:pPr>
      <w:r>
        <w:rPr>
          <w:b w:val="0"/>
        </w:rPr>
        <w:t>Organizar a devolutiva em torno de três perguntas: qual direito está em jogo, qual obstáculo impede sua realização e qual instituição pode agir? Examinar barreiras como distância entre serviços, horários incompatíveis, exigência indevida de BO, circulação sem retorno e desconhecimento do conteúdo de uma medida. O grupo deve diferenciar limitações reais de oferta de práticas que podem ser corrigidas pela própria equipe.</w:t>
      </w:r>
    </w:p>
    <w:p>
      <w:pPr>
        <w:keepLines/>
      </w:pPr>
      <w:r>
        <w:rPr>
          <w:b w:val="0"/>
        </w:rPr>
        <w:t>Concluir com uma decisão fundamentada por grupo, indicando artigo ou instrumento, ação, responsável e modo de acompanhamento. Não solicitar relatos pessoais de violência nem expor casos identificáveis atendidos pelos serviços. Avaliar a capacidade de aplicar a norma e articular proteção, e não a memorização de números de leis.</w:t>
      </w:r>
    </w:p>
    <w:p>
      <w:pPr>
        <w:pStyle w:val="Heading2"/>
        <w:keepLines/>
      </w:pPr>
      <w:r>
        <w:rPr>
          <w:b w:val="0"/>
        </w:rPr>
        <w:t>Roteiro de facilitação ampliado · 4 horas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134"/>
        <w:gridCol w:w="6684"/>
      </w:tblGrid>
      <w:tr>
        <w:trPr>
          <w:cantSplit/>
          <w:tblHeader/>
        </w:trPr>
        <w:tc>
          <w:tcPr>
            <w:tcW w:type="dxa" w:w="238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Etapa</w:t>
            </w:r>
          </w:p>
        </w:tc>
        <w:tc>
          <w:tcPr>
            <w:tcW w:type="dxa" w:w="113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Tempo</w:t>
            </w:r>
          </w:p>
        </w:tc>
        <w:tc>
          <w:tcPr>
            <w:tcW w:type="dxa" w:w="668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Desenvolvimento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Abertura e território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15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Ler dados municipais; levantar uma barreira concreta de acesso.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Bloco 1</w:t>
            </w:r>
          </w:p>
        </w:tc>
        <w:tc>
          <w:tcPr>
            <w:tcW w:type="dxa" w:w="113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35 min</w:t>
            </w:r>
          </w:p>
        </w:tc>
        <w:tc>
          <w:tcPr>
            <w:tcW w:type="dxa" w:w="668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Exposição histórica e leitura dos arts. 5º, 7º e 8º.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Blocos 2 e 4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35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Medidas protetivas, atribuições e procedimentos; leitura do art. 19.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Bloco 3</w:t>
            </w:r>
          </w:p>
        </w:tc>
        <w:tc>
          <w:tcPr>
            <w:tcW w:type="dxa" w:w="113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55 min</w:t>
            </w:r>
          </w:p>
        </w:tc>
        <w:tc>
          <w:tcPr>
            <w:tcW w:type="dxa" w:w="668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Feminicídio, art. 121-A, pactos e prevenção, com dados do Paraná.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Casos jurídicos reais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30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 min de leitura, 15 min em grupos e 10 min de devolutiva.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Oficina integradora</w:t>
            </w:r>
          </w:p>
        </w:tc>
        <w:tc>
          <w:tcPr>
            <w:tcW w:type="dxa" w:w="113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55 min</w:t>
            </w:r>
          </w:p>
        </w:tc>
        <w:tc>
          <w:tcPr>
            <w:tcW w:type="dxa" w:w="668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Preservar caso fictício e matriz: 5 min de leitura, 25 min de produção, 20 min de discussão e 5 min de revisão.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Debate e avaliação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15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Desafios na aplicação das leis; decisão fundamentada e compromisso de melhoria.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Total: 240 minutos de atividades. Prever intervalos adicionalmente. Os anexos são material de consulta; não precisam ser lidos integralmente durante a aula.</w:t>
      </w:r>
    </w:p>
    <w:p>
      <w:pPr>
        <w:keepNext/>
        <w:keepLines/>
      </w:pPr>
      <w:r>
        <w:rPr>
          <w:b/>
          <w:color w:val="5B1738"/>
          <w:sz w:val="18"/>
        </w:rPr>
        <w:t>OFICINA INTEGRADORA · 55 MIN</w:t>
      </w:r>
    </w:p>
    <w:p>
      <w:pPr>
        <w:pStyle w:val="Heading2"/>
        <w:keepLines/>
      </w:pPr>
      <w:r>
        <w:rPr>
          <w:b w:val="0"/>
        </w:rPr>
        <w:t>Do direito à resposta institucional</w:t>
      </w:r>
    </w:p>
    <w:p>
      <w:pPr>
        <w:keepLines/>
      </w:pPr>
      <w:r>
        <w:rPr>
          <w:b/>
        </w:rPr>
        <w:t>Caso fictício.</w:t>
      </w:r>
      <w:r>
        <w:t xml:space="preserve"> </w:t>
      </w:r>
      <w:r>
        <w:rPr>
          <w:b w:val="0"/>
        </w:rPr>
        <w:t xml:space="preserve"> </w:t>
      </w:r>
      <w:r>
        <w:t>Uma mulher procura um serviço municipal relatando ameaças, retenção de documentos e vigilância pelo ex-companheiro. Está com a filha adolescente, depende de transporte intermunicipal e teme que ele descubra que buscou ajuda.</w:t>
      </w:r>
    </w:p>
    <w:p>
      <w:pPr>
        <w:keepLines/>
      </w:pPr>
      <w:r>
        <w:rPr>
          <w:b w:val="0"/>
        </w:rPr>
        <w:t>Em grupos, preencher uma linha para cada necessidade identificada, incluindo as necessidades próprias da adolescente.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2154"/>
        <w:gridCol w:w="2154"/>
        <w:gridCol w:w="2041"/>
        <w:gridCol w:w="2035"/>
      </w:tblGrid>
      <w:tr>
        <w:trPr>
          <w:cantSplit/>
          <w:tblHeader/>
        </w:trPr>
        <w:tc>
          <w:tcPr>
            <w:tcW w:type="dxa" w:w="181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Necessidade identificada</w:t>
            </w:r>
          </w:p>
        </w:tc>
        <w:tc>
          <w:tcPr>
            <w:tcW w:type="dxa" w:w="215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Direito ou proteção pertinente</w:t>
            </w:r>
          </w:p>
        </w:tc>
        <w:tc>
          <w:tcPr>
            <w:tcW w:type="dxa" w:w="215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Ação do serviço que acolheu</w:t>
            </w:r>
          </w:p>
        </w:tc>
        <w:tc>
          <w:tcPr>
            <w:tcW w:type="dxa" w:w="204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Articulação necessária</w:t>
            </w:r>
          </w:p>
        </w:tc>
        <w:tc>
          <w:tcPr>
            <w:tcW w:type="dxa" w:w="2035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Como verificar a resposta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 identificar pelo grupo</w:t>
            </w:r>
          </w:p>
        </w:tc>
        <w:tc>
          <w:tcPr>
            <w:tcW w:type="dxa" w:w="215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Fundamentar</w:t>
            </w:r>
          </w:p>
        </w:tc>
        <w:tc>
          <w:tcPr>
            <w:tcW w:type="dxa" w:w="215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Definir a ação</w:t>
            </w:r>
          </w:p>
        </w:tc>
        <w:tc>
          <w:tcPr>
            <w:tcW w:type="dxa" w:w="204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Indicar serviço e finalidade</w:t>
            </w:r>
          </w:p>
        </w:tc>
        <w:tc>
          <w:tcPr>
            <w:tcW w:type="dxa" w:w="2035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Prever retorno e acompanhamento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/>
        </w:rPr>
        <w:t>Critérios de avaliação:</w:t>
      </w:r>
      <w:r>
        <w:t xml:space="preserve"> reconhecer necessidades da mulher e da adolescente; evitar exigências indevidas; respeitar competências; prever continuidade.</w:t>
      </w:r>
    </w:p>
    <w:p>
      <w:pPr>
        <w:keepLines/>
        <w:shd w:fill="F7F0E7"/>
      </w:pPr>
      <w:r>
        <w:rPr>
          <w:b/>
        </w:rPr>
        <w:t>Produto:</w:t>
      </w:r>
      <w:r>
        <w:t xml:space="preserve"> matriz de direitos e respostas institucionais utilizável como referência pedagógica.</w:t>
      </w:r>
    </w:p>
    <w:p>
      <w:pPr>
        <w:pStyle w:val="Heading2"/>
        <w:keepLines/>
      </w:pPr>
      <w:r>
        <w:rPr>
          <w:b w:val="0"/>
        </w:rPr>
        <w:t>Dados do hub · o território como ponto de partida</w:t>
      </w:r>
    </w:p>
    <w:p>
      <w:pPr>
        <w:keepLines/>
      </w:pPr>
      <w:r>
        <w:rPr>
          <w:b w:val="0"/>
        </w:rPr>
        <w:t>A base municipal do hub reúne 31 municípios do COMESP e três indicadores do painel Mulheres do Paraná, do IPARDES/SESP, para 2024 e 2025. A atualização de origem informada é 04/02/2026; a consolidação do hub é de 23/08/2026. Os números abaixo reproduzem essa base, sem representar uma nova extração do painel nesta revisão.</w:t>
      </w:r>
    </w:p>
    <w:p>
      <w:pPr>
        <w:keepLines/>
      </w:pPr>
      <w:r>
        <w:rPr>
          <w:b w:val="0"/>
        </w:rPr>
        <w:t>Os rótulos “Violência Contra a Mulher” e “Violência Doméstica Contra a Mulher” foram preservados. São registros administrativos, não contagens de mulheres únicas nem estimativas da totalidade da violência vivida. Não se somam os indicadores, pois podem existir sobreposições. A comparação entre municípios por valores absolutos não mede risco: seria necessário considerar população, cobertura, definições e condições de registro.</w:t>
      </w:r>
    </w:p>
    <w:p>
      <w:pPr>
        <w:keepLines/>
      </w:pPr>
      <w:hyperlink r:id="rId33">
        <w:r>
          <w:rPr>
            <w:color w:val="5B1738"/>
            <w:u w:val="single"/>
          </w:rPr>
          <w:t>Fonte municipal: IPARDES — Mulheres do Paraná</w:t>
        </w:r>
      </w:hyperlink>
      <w:r>
        <w:t xml:space="preserve"> · </w:t>
      </w:r>
      <w:hyperlink r:id="rId34">
        <w:r>
          <w:rPr>
            <w:color w:val="5B1738"/>
            <w:u w:val="single"/>
          </w:rPr>
          <w:t>Base mestra utilizada pelo hub</w:t>
        </w:r>
      </w:hyperlink>
      <w:r>
        <w:t>.</w:t>
      </w:r>
    </w:p>
    <w:p>
      <w:pPr>
        <w:pStyle w:val="Heading2"/>
        <w:keepLines/>
      </w:pPr>
      <w:r>
        <w:rPr>
          <w:b w:val="0"/>
        </w:rPr>
        <w:t>Leitura para a aula: situações que exigem perguntas diferentes</w:t>
      </w:r>
    </w:p>
    <w:p>
      <w:pPr>
        <w:keepLines/>
      </w:pPr>
      <w:r>
        <w:rPr>
          <w:b w:val="0"/>
        </w:rPr>
        <w:t>Em Curitiba, a base registra 11 feminicídios em 2024 e 12 em 2025, enquanto o indicador de violência contra a mulher passa de 38.538 para 34.282. Em São José dos Pinhais, os feminicídios passam de 1 para 3, e os registros de violência doméstica contra a mulher, de 1.919 para 1.886. A leitura conjunta mostra por que a redução de um indicador não autoriza concluir que todas as dimensões da violência diminuíram.</w:t>
      </w:r>
    </w:p>
    <w:p>
      <w:pPr>
        <w:keepLines/>
      </w:pPr>
      <w:r>
        <w:rPr>
          <w:b w:val="0"/>
        </w:rPr>
        <w:t>Em Pinhais, os feminicídios passam de 2 para 0 e os registros de violência doméstica, de 534 para 639. Em Fazenda Rio Grande, não há feminicídios registrados em nenhum dos dois anos, mas o indicador de violência contra a mulher apresenta 3.187 e 2.922 registros. Esses exemplos não demonstram causas ou desempenho institucional. Eles ajudam a questionar a ideia de que zero feminicídios dispensa prevenção.</w:t>
      </w:r>
    </w:p>
    <w:p>
      <w:pPr>
        <w:keepLines/>
      </w:pPr>
      <w:r>
        <w:rPr>
          <w:b w:val="0"/>
        </w:rPr>
        <w:t>Em municípios com valores pequenos, a mudança de um único registro pode produzir variações percentuais elevadas. Por isso, a aula deve trabalhar com números absolutos e contexto, evitando rankings e conclusões causais. Perguntar: quais portas de entrada existem, quais territórios têm maior dificuldade de acesso e que informações locais seriam necessárias para compreender os registros?</w:t>
      </w:r>
    </w:p>
    <w:p>
      <w:pPr>
        <w:pStyle w:val="Heading2"/>
        <w:keepLines/>
      </w:pPr>
      <w:r>
        <w:rPr>
          <w:b w:val="0"/>
        </w:rPr>
        <w:t>Paraná: violência letal e sinais de demanda por proteção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4"/>
        <w:gridCol w:w="2268"/>
        <w:gridCol w:w="2268"/>
      </w:tblGrid>
      <w:tr>
        <w:trPr>
          <w:cantSplit/>
          <w:tblHeader/>
        </w:trPr>
        <w:tc>
          <w:tcPr>
            <w:tcW w:type="dxa" w:w="566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Indicador / unidade</w:t>
            </w:r>
          </w:p>
        </w:tc>
        <w:tc>
          <w:tcPr>
            <w:tcW w:type="dxa" w:w="226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type="dxa" w:w="226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2025</w:t>
            </w:r>
          </w:p>
        </w:tc>
      </w:tr>
      <w:tr>
        <w:trPr>
          <w:cantSplit/>
        </w:trPr>
        <w:tc>
          <w:tcPr>
            <w:tcW w:type="dxa" w:w="566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Feminicídios / vítimas</w:t>
            </w:r>
          </w:p>
        </w:tc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109</w:t>
            </w:r>
          </w:p>
        </w:tc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87</w:t>
            </w:r>
          </w:p>
        </w:tc>
      </w:tr>
      <w:tr>
        <w:trPr>
          <w:cantSplit/>
        </w:trPr>
        <w:tc>
          <w:tcPr>
            <w:tcW w:type="dxa" w:w="566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Tentativas de feminicídio / vítimas</w:t>
            </w:r>
          </w:p>
        </w:tc>
        <w:tc>
          <w:tcPr>
            <w:tcW w:type="dxa" w:w="226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108</w:t>
            </w:r>
          </w:p>
        </w:tc>
        <w:tc>
          <w:tcPr>
            <w:tcW w:type="dxa" w:w="226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148</w:t>
            </w:r>
          </w:p>
        </w:tc>
      </w:tr>
      <w:tr>
        <w:trPr>
          <w:cantSplit/>
        </w:trPr>
        <w:tc>
          <w:tcPr>
            <w:tcW w:type="dxa" w:w="566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Perseguição (stalking) / vítimas</w:t>
            </w:r>
          </w:p>
        </w:tc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7.150</w:t>
            </w:r>
          </w:p>
        </w:tc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8.203</w:t>
            </w:r>
          </w:p>
        </w:tc>
      </w:tr>
      <w:tr>
        <w:trPr>
          <w:cantSplit/>
        </w:trPr>
        <w:tc>
          <w:tcPr>
            <w:tcW w:type="dxa" w:w="566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Violência psicológica / vítimas</w:t>
            </w:r>
          </w:p>
        </w:tc>
        <w:tc>
          <w:tcPr>
            <w:tcW w:type="dxa" w:w="226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1.861</w:t>
            </w:r>
          </w:p>
        </w:tc>
        <w:tc>
          <w:tcPr>
            <w:tcW w:type="dxa" w:w="226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2.550</w:t>
            </w:r>
          </w:p>
        </w:tc>
      </w:tr>
      <w:tr>
        <w:trPr>
          <w:cantSplit/>
        </w:trPr>
        <w:tc>
          <w:tcPr>
            <w:tcW w:type="dxa" w:w="566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Descumprimento de medidas protetivas / ocorrências</w:t>
            </w:r>
          </w:p>
        </w:tc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18.797</w:t>
            </w:r>
          </w:p>
        </w:tc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23.220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Fonte reproduzida da base do hub: FBSP, 20º Anuário Brasileiro de Segurança Pública, edição 2026. São valores absolutos; a base também contém taxas, com denominadores próprios. Não comparar diretamente taxas com denominadores diferentes nem somar vítimas e ocorrências.</w:t>
      </w:r>
    </w:p>
    <w:p>
      <w:pPr>
        <w:keepLines/>
      </w:pPr>
      <w:hyperlink r:id="rId35">
        <w:r>
          <w:rPr>
            <w:color w:val="5B1738"/>
            <w:u w:val="single"/>
          </w:rPr>
          <w:t>Fonte estadual indicada no hub: Anuário Brasileiro de Segurança Pública 2026</w:t>
        </w:r>
      </w:hyperlink>
      <w:r>
        <w:t>.</w:t>
      </w:r>
    </w:p>
    <w:p>
      <w:pPr>
        <w:keepLines/>
      </w:pPr>
      <w:r>
        <w:rPr>
          <w:b w:val="0"/>
        </w:rPr>
        <w:t>A redução dos feminicídios consumados convive com aumento de tentativas e de descumprimentos registrados. Esse contraste sustenta uma pergunta de gestão, sem demonstrar causalidade: como a rede responde aos sinais de perigo e verifica a efetividade das medidas? Dados agregados orientam planejamento; não permitem estimar o risco individual de uma mulher nem comprovar que uma política específica causou a variação observada.</w:t>
      </w:r>
    </w:p>
    <w:p>
      <w:pPr>
        <w:pStyle w:val="Heading2"/>
        <w:keepLines/>
      </w:pPr>
      <w:r>
        <w:rPr>
          <w:b w:val="0"/>
        </w:rPr>
        <w:t>Anexo de consulta · 31 municípios do COMESP</w:t>
      </w:r>
    </w:p>
    <w:p>
      <w:pPr>
        <w:keepLines/>
      </w:pPr>
      <w:r>
        <w:rPr>
          <w:b w:val="0"/>
        </w:rPr>
        <w:t xml:space="preserve">F = Feminicídio; VCM = Violência Contra a Mulher; VDCM = Violência Doméstica Contra a Mulher. Cada célula apresenta </w:t>
      </w:r>
      <w:r>
        <w:rPr>
          <w:b/>
        </w:rPr>
        <w:t>2024 → 2025</w:t>
      </w:r>
      <w:r>
        <w:t>. Unidade municipal: registro no painel oficial, conforme a base do hub.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1928"/>
        <w:gridCol w:w="2551"/>
        <w:gridCol w:w="2602"/>
      </w:tblGrid>
      <w:tr>
        <w:trPr>
          <w:cantSplit/>
          <w:tblHeader/>
        </w:trPr>
        <w:tc>
          <w:tcPr>
            <w:tcW w:type="dxa" w:w="311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Município</w:t>
            </w:r>
          </w:p>
        </w:tc>
        <w:tc>
          <w:tcPr>
            <w:tcW w:type="dxa" w:w="192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F · 24 → 25</w:t>
            </w:r>
          </w:p>
        </w:tc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VCM · 24 → 25</w:t>
            </w:r>
          </w:p>
        </w:tc>
        <w:tc>
          <w:tcPr>
            <w:tcW w:type="dxa" w:w="2602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VDCM · 24 → 25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Adrianópolis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96 → 97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45 → 26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Agudos do Sul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156 → 128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40 → 23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Almirante Tamandaré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1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2.428 → 2.005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667 → 565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Araucária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 → 1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2.998 → 2.602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1.121 → 1.060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Balsa Nova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247 → 182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86 → 60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Bocaiúva do Sul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354 → 309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116 → 122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Campina Grande do Sul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999 → 887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238 → 288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Campo do Tenente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153 → 100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46 → 26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Campo Largo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1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2.341 → 2.047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653 → 563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Cerro Azul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274 → 227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75 → 67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Campo Magro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515 → 438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161 → 157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Colombo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1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5.229 → 4.435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1.557 → 1.446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Contenda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345 → 316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102 → 108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Curitiba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11 → 12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38.538 → 34.282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9.684 → 8.855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Doutor Ulysses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35 → 26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13 → 11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Fazenda Rio Grande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3.187 → 2.922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667 → 429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Guaratuba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1.639 → 1.404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457 → 401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Itaperuçu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453 → 355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134 → 99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Lapa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907 → 921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248 → 231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Mandirituba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1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461 → 415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91 → 64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Piên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1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121 → 118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54 → 52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Pinhais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2.739 → 2.741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534 → 639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Piraquara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1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2.398 → 2.263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966 → 712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Pontal do Paraná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1.352 → 1.230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339 → 372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Quatro Barras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606 → 448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190 → 168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Quitandinha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168 → 116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52 → 34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Rio Branco do Sul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2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661 → 608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156 → 146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Rio Negro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514 → 408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134 → 100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São José dos Pinhais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 → 3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6.322 → 5.586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1.919 → 1.886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Tijucas do Sul</w:t>
            </w:r>
          </w:p>
        </w:tc>
        <w:tc>
          <w:tcPr>
            <w:tcW w:type="dxa" w:w="192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388 → 406</w:t>
            </w:r>
          </w:p>
        </w:tc>
        <w:tc>
          <w:tcPr>
            <w:tcW w:type="dxa" w:w="2602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116 → 119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Tunas do Paraná</w:t>
            </w:r>
          </w:p>
        </w:tc>
        <w:tc>
          <w:tcPr>
            <w:tcW w:type="dxa" w:w="192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0 → 0</w:t>
            </w:r>
          </w:p>
        </w:tc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121 → 92</w:t>
            </w:r>
          </w:p>
        </w:tc>
        <w:tc>
          <w:tcPr>
            <w:tcW w:type="dxa" w:w="260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39 → 39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/>
        </w:rPr>
        <w:t>Atividade territorial:</w:t>
      </w:r>
      <w:r>
        <w:t xml:space="preserve"> escolher um município, ler os três indicadores e formular duas perguntas para a rede. Apontar uma necessidade de informação adicional e uma providência de organização do atendimento. Não inferir identidade de vítimas a partir de números pequenos nem relacionar a tabela a histórias pessoais identificáveis.</w:t>
      </w:r>
    </w:p>
    <w:p>
      <w:pPr>
        <w:pStyle w:val="Heading2"/>
        <w:keepLines/>
      </w:pPr>
      <w:r>
        <w:rPr>
          <w:b w:val="0"/>
        </w:rPr>
        <w:t>Referências oficiais do módulo III</w:t>
      </w:r>
    </w:p>
    <w:p>
      <w:pPr>
        <w:keepLines/>
      </w:pPr>
      <w:hyperlink r:id="rId14">
        <w:r>
          <w:rPr>
            <w:color w:val="5B1738"/>
            <w:u w:val="single"/>
          </w:rPr>
          <w:t>Lei Maria da Penha ↗</w:t>
        </w:r>
      </w:hyperlink>
    </w:p>
    <w:p>
      <w:pPr>
        <w:keepLines/>
      </w:pPr>
      <w:hyperlink r:id="rId16">
        <w:r>
          <w:rPr>
            <w:color w:val="5B1738"/>
            <w:u w:val="single"/>
          </w:rPr>
          <w:t>Medidas protetivas · Lei 14.550/2023 ↗</w:t>
        </w:r>
      </w:hyperlink>
    </w:p>
    <w:p>
      <w:pPr>
        <w:keepLines/>
      </w:pPr>
      <w:hyperlink r:id="rId17">
        <w:r>
          <w:rPr>
            <w:color w:val="5B1738"/>
            <w:u w:val="single"/>
          </w:rPr>
          <w:t>Afastamento · Lei 13.827/2019 ↗</w:t>
        </w:r>
      </w:hyperlink>
    </w:p>
    <w:p>
      <w:pPr>
        <w:keepLines/>
      </w:pPr>
      <w:hyperlink r:id="rId20">
        <w:r>
          <w:rPr>
            <w:color w:val="5B1738"/>
            <w:u w:val="single"/>
          </w:rPr>
          <w:t>Feminicídio · Lei 14.994/2024 ↗</w:t>
        </w:r>
      </w:hyperlink>
    </w:p>
    <w:p>
      <w:pPr>
        <w:keepLines/>
      </w:pPr>
      <w:hyperlink r:id="rId18">
        <w:r>
          <w:rPr>
            <w:color w:val="5B1738"/>
            <w:u w:val="single"/>
          </w:rPr>
          <w:t>Monitoração · Lei 15.383/2026 ↗</w:t>
        </w:r>
      </w:hyperlink>
    </w:p>
    <w:p>
      <w:pPr>
        <w:keepLines/>
      </w:pPr>
      <w:hyperlink r:id="rId21">
        <w:r>
          <w:rPr>
            <w:color w:val="5B1738"/>
            <w:u w:val="single"/>
          </w:rPr>
          <w:t>Avaliação de risco · Lei 14.149/2021 ↗</w:t>
        </w:r>
      </w:hyperlink>
    </w:p>
    <w:p>
      <w:pPr>
        <w:keepLines/>
      </w:pPr>
      <w:hyperlink r:id="rId28">
        <w:r>
          <w:rPr>
            <w:color w:val="5B1738"/>
            <w:u w:val="single"/>
          </w:rPr>
          <w:t>Violência sexual · Lei 12.845/2013 ↗</w:t>
        </w:r>
      </w:hyperlink>
    </w:p>
    <w:p>
      <w:pPr>
        <w:keepLines/>
      </w:pPr>
      <w:hyperlink r:id="rId29">
        <w:r>
          <w:rPr>
            <w:color w:val="5B1738"/>
            <w:u w:val="single"/>
          </w:rPr>
          <w:t>Escuta protegida · Lei 13.431/2017 ↗</w:t>
        </w:r>
      </w:hyperlink>
    </w:p>
    <w:p>
      <w:pPr>
        <w:keepLines/>
      </w:pPr>
      <w:hyperlink r:id="rId30">
        <w:r>
          <w:rPr>
            <w:color w:val="5B1738"/>
            <w:u w:val="single"/>
          </w:rPr>
          <w:t>Comunicação · Lei 13.931/2019 ↗</w:t>
        </w:r>
      </w:hyperlink>
    </w:p>
    <w:p>
      <w:pPr>
        <w:keepLines/>
      </w:pPr>
      <w:hyperlink r:id="rId19">
        <w:r>
          <w:rPr>
            <w:color w:val="5B1738"/>
            <w:u w:val="single"/>
          </w:rPr>
          <w:t>STF · Tema 1.412 ↗</w:t>
        </w:r>
      </w:hyperlink>
    </w:p>
    <w:p>
      <w:pPr>
        <w:keepLines/>
      </w:pPr>
      <w:r>
        <w:rPr>
          <w:b w:val="0"/>
        </w:rPr>
        <w:t>Referências acrescentadas na ampliação (também vinculadas aos trechos correspondentes):</w:t>
      </w:r>
    </w:p>
    <w:p>
      <w:pPr>
        <w:keepLines/>
      </w:pPr>
      <w:hyperlink r:id="rId15">
        <w:r>
          <w:rPr>
            <w:color w:val="5B1738"/>
            <w:u w:val="single"/>
          </w:rPr>
          <w:t>Fonte histórica: CIDH — Relatório nº 54/01, Caso 12.051 (2001)</w:t>
        </w:r>
      </w:hyperlink>
    </w:p>
    <w:p>
      <w:pPr>
        <w:keepLines/>
      </w:pPr>
      <w:hyperlink r:id="rId22">
        <w:r>
          <w:rPr>
            <w:color w:val="5B1738"/>
            <w:u w:val="single"/>
          </w:rPr>
          <w:t>Leitura histórica: Lei nº 13.104/2015</w:t>
        </w:r>
      </w:hyperlink>
    </w:p>
    <w:p>
      <w:pPr>
        <w:keepLines/>
      </w:pPr>
      <w:hyperlink r:id="rId23">
        <w:r>
          <w:rPr>
            <w:color w:val="5B1738"/>
            <w:u w:val="single"/>
          </w:rPr>
          <w:t>Leitura atual: Código Penal, arts. 2º, 14 e 121-A</w:t>
        </w:r>
      </w:hyperlink>
    </w:p>
    <w:p>
      <w:pPr>
        <w:keepLines/>
      </w:pPr>
      <w:hyperlink r:id="rId24">
        <w:r>
          <w:rPr>
            <w:color w:val="5B1738"/>
            <w:u w:val="single"/>
          </w:rPr>
          <w:t>Decreto nº 11.640/2023</w:t>
        </w:r>
      </w:hyperlink>
    </w:p>
    <w:p>
      <w:pPr>
        <w:keepLines/>
      </w:pPr>
      <w:hyperlink r:id="rId25">
        <w:r>
          <w:rPr>
            <w:color w:val="5B1738"/>
            <w:u w:val="single"/>
          </w:rPr>
          <w:t>Decreto nº 12.839/2026</w:t>
        </w:r>
      </w:hyperlink>
    </w:p>
    <w:p>
      <w:pPr>
        <w:keepLines/>
      </w:pPr>
      <w:hyperlink r:id="rId26">
        <w:r>
          <w:rPr>
            <w:color w:val="5B1738"/>
            <w:u w:val="single"/>
          </w:rPr>
          <w:t>Senado: articulação dos Poderes e ações do pacto de 2026</w:t>
        </w:r>
      </w:hyperlink>
    </w:p>
    <w:p>
      <w:pPr>
        <w:keepLines/>
      </w:pPr>
      <w:hyperlink r:id="rId27">
        <w:r>
          <w:rPr>
            <w:color w:val="5B1738"/>
            <w:u w:val="single"/>
          </w:rPr>
          <w:t>Lei nº 14.899/2024 — planos de metas e redes de enfrentamento</w:t>
        </w:r>
      </w:hyperlink>
    </w:p>
    <w:p>
      <w:pPr>
        <w:keepLines/>
      </w:pPr>
      <w:hyperlink r:id="rId31">
        <w:r>
          <w:rPr>
            <w:color w:val="5B1738"/>
            <w:u w:val="single"/>
          </w:rPr>
          <w:t>Fonte: STJ, inteiro teor do HC 430.222/MG, DJe de 22/03/2018</w:t>
        </w:r>
      </w:hyperlink>
    </w:p>
    <w:p>
      <w:pPr>
        <w:keepLines/>
      </w:pPr>
      <w:hyperlink r:id="rId32">
        <w:r>
          <w:rPr>
            <w:color w:val="5B1738"/>
            <w:u w:val="single"/>
          </w:rPr>
          <w:t>Fonte: MPGO — restabelecimento de medidas protetivas pelo STJ</w:t>
        </w:r>
      </w:hyperlink>
    </w:p>
    <w:p>
      <w:pPr>
        <w:keepLines/>
      </w:pPr>
      <w:hyperlink r:id="rId33">
        <w:r>
          <w:rPr>
            <w:color w:val="5B1738"/>
            <w:u w:val="single"/>
          </w:rPr>
          <w:t>Fonte municipal: IPARDES — Mulheres do Paraná</w:t>
        </w:r>
      </w:hyperlink>
    </w:p>
    <w:p>
      <w:pPr>
        <w:keepLines/>
      </w:pPr>
      <w:hyperlink r:id="rId34">
        <w:r>
          <w:rPr>
            <w:color w:val="5B1738"/>
            <w:u w:val="single"/>
          </w:rPr>
          <w:t>Base mestra utilizada pelo hub</w:t>
        </w:r>
      </w:hyperlink>
    </w:p>
    <w:p>
      <w:pPr>
        <w:keepLines/>
      </w:pPr>
      <w:hyperlink r:id="rId35">
        <w:r>
          <w:rPr>
            <w:color w:val="5B1738"/>
            <w:u w:val="single"/>
          </w:rPr>
          <w:t>Fonte estadual indicada no hub: Anuário Brasileiro de Segurança Pública 2026</w:t>
        </w:r>
      </w:hyperlink>
    </w:p>
    <w:p>
      <w:pPr>
        <w:keepLines/>
      </w:pPr>
      <w:hyperlink r:id="rId36">
        <w:r>
          <w:rPr>
            <w:color w:val="5B1738"/>
            <w:u w:val="single"/>
          </w:rPr>
          <w:t>Lei nº 15.384/2026 — violência vicária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35" w:right="1020" w:bottom="935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MÓDULO III   ·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1738"/>
        <w:sz w:val="16"/>
      </w:rPr>
      <w:t>MULHER SEGURA   /   COMESP · REDE PREPARADA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80"/>
    </w:pPr>
    <w:rPr>
      <w:rFonts w:ascii="Arial" w:hAnsi="Arial"/>
      <w:color w:val="2813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80"/>
      <w:outlineLvl w:val="0"/>
    </w:pPr>
    <w:rPr>
      <w:rFonts w:ascii="DejaVu Serif" w:hAnsi="DejaVu Serif" w:eastAsia="DejaVu Serif" w:cs="DejaVu Serif"/>
      <w:b w:val="0"/>
      <w:bCs/>
      <w:color w:val="5B173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80"/>
      <w:outlineLvl w:val="1"/>
    </w:pPr>
    <w:rPr>
      <w:rFonts w:ascii="DejaVu Serif" w:hAnsi="DejaVu Serif" w:eastAsia="DejaVu Serif" w:cs="DejaVu Serif"/>
      <w:b w:val="0"/>
      <w:bCs/>
      <w:color w:val="5B17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 w:before="280"/>
      <w:contextualSpacing/>
    </w:pPr>
    <w:rPr>
      <w:rFonts w:ascii="DejaVu Serif" w:hAnsi="DejaVu Serif" w:eastAsia="DejaVu Serif" w:cs="DejaVu Serif"/>
      <w:b w:val="0"/>
      <w:color w:val="5B17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69" w:lineRule="auto"/>
    </w:pPr>
    <w:rPr>
      <w:rFonts w:ascii="Arial" w:hAnsi="Arial"/>
      <w:color w:val="28131D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80"/>
      <w:contextualSpacing/>
    </w:pPr>
    <w:rPr>
      <w:rFonts w:ascii="Arial" w:hAnsi="Arial"/>
      <w:color w:val="28131D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9" w:lineRule="auto" w:after="80"/>
      <w:contextualSpacing/>
    </w:pPr>
    <w:rPr>
      <w:rFonts w:ascii="Arial" w:hAnsi="Arial"/>
      <w:color w:val="28131D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ulher-segura.camolezimonica.chatgpt.site/#oficina-3" TargetMode="External"/><Relationship Id="rId12" Type="http://schemas.openxmlformats.org/officeDocument/2006/relationships/hyperlink" Target="https://mulher-segura.camolezimonica.chatgpt.site/#referencias-3" TargetMode="External"/><Relationship Id="rId13" Type="http://schemas.openxmlformats.org/officeDocument/2006/relationships/hyperlink" Target="https://mulher-segura.camolezimonica.chatgpt.site/#modulo-4" TargetMode="External"/><Relationship Id="rId14" Type="http://schemas.openxmlformats.org/officeDocument/2006/relationships/hyperlink" Target="https://www.planalto.gov.br/ccivil_03/_ato2004-2006/2006/lei/l11340.htm" TargetMode="External"/><Relationship Id="rId15" Type="http://schemas.openxmlformats.org/officeDocument/2006/relationships/hyperlink" Target="https://cidh.oas.org/annualrep/2000port/12051.htm" TargetMode="External"/><Relationship Id="rId16" Type="http://schemas.openxmlformats.org/officeDocument/2006/relationships/hyperlink" Target="https://www.planalto.gov.br/ccivil_03/_ato2023-2026/2023/lei/l14550.htm" TargetMode="External"/><Relationship Id="rId17" Type="http://schemas.openxmlformats.org/officeDocument/2006/relationships/hyperlink" Target="https://www.planalto.gov.br/ccivil_03/_ato2019-2022/2019/lei/l13827.htm" TargetMode="External"/><Relationship Id="rId18" Type="http://schemas.openxmlformats.org/officeDocument/2006/relationships/hyperlink" Target="https://www.planalto.gov.br/ccivil_03/_ato2023-2026/2026/lei/l15383.htm" TargetMode="External"/><Relationship Id="rId19" Type="http://schemas.openxmlformats.org/officeDocument/2006/relationships/hyperlink" Target="https://portal.stf.jus.br/jurisprudenciaRepercussao/verAndamentoProcesso.asp?classeProcesso=ARE&amp;incidente=7171450&amp;numeroProcesso=1537713&amp;numeroTema=1412" TargetMode="External"/><Relationship Id="rId20" Type="http://schemas.openxmlformats.org/officeDocument/2006/relationships/hyperlink" Target="https://www.planalto.gov.br/ccivil_03/_ato2023-2026/2024/lei/l14994.htm" TargetMode="External"/><Relationship Id="rId21" Type="http://schemas.openxmlformats.org/officeDocument/2006/relationships/hyperlink" Target="https://www.planalto.gov.br/ccivil_03/_ato2019-2022/2021/lei/l14149.htm" TargetMode="External"/><Relationship Id="rId22" Type="http://schemas.openxmlformats.org/officeDocument/2006/relationships/hyperlink" Target="https://www.planalto.gov.br/ccivil_03/_ato2015-2018/2015/lei/l13104.htm" TargetMode="External"/><Relationship Id="rId23" Type="http://schemas.openxmlformats.org/officeDocument/2006/relationships/hyperlink" Target="https://www.planalto.gov.br/ccivil_03/decreto-lei/del2848compilado.htm" TargetMode="External"/><Relationship Id="rId24" Type="http://schemas.openxmlformats.org/officeDocument/2006/relationships/hyperlink" Target="https://www.planalto.gov.br/ccivil_03/_ato2023-2026/2023/decreto/d11640.htm" TargetMode="External"/><Relationship Id="rId25" Type="http://schemas.openxmlformats.org/officeDocument/2006/relationships/hyperlink" Target="https://www.planalto.gov.br/ccivil_03/_ato2023-2026/2026/decreto/d12839.htm" TargetMode="External"/><Relationship Id="rId26" Type="http://schemas.openxmlformats.org/officeDocument/2006/relationships/hyperlink" Target="https://www12.senado.leg.br/noticias/materias/2026/05/20/pacto-contra-o-feminicidio-poderes-articulam-acoes-de-protecao-as-mulheres" TargetMode="External"/><Relationship Id="rId27" Type="http://schemas.openxmlformats.org/officeDocument/2006/relationships/hyperlink" Target="https://www.planalto.gov.br/ccivil_03/_ato2023-2026/2024/lei/l14899.htm" TargetMode="External"/><Relationship Id="rId28" Type="http://schemas.openxmlformats.org/officeDocument/2006/relationships/hyperlink" Target="https://www.planalto.gov.br/ccivil_03/_ato2011-2014/2013/lei/l12845.htm" TargetMode="External"/><Relationship Id="rId29" Type="http://schemas.openxmlformats.org/officeDocument/2006/relationships/hyperlink" Target="https://www.planalto.gov.br/ccivil_03/_ato2015-2018/2017/lei/l13431.htm" TargetMode="External"/><Relationship Id="rId30" Type="http://schemas.openxmlformats.org/officeDocument/2006/relationships/hyperlink" Target="https://www.planalto.gov.br/ccivil_03/_ato2019-2022/2019/lei/l13931.htm" TargetMode="External"/><Relationship Id="rId31" Type="http://schemas.openxmlformats.org/officeDocument/2006/relationships/hyperlink" Target="https://www.stj.jus.br/websecstj/cgi/revista/REJ.cgi/ITA?CodOrgaoJgdr=&amp;SeqCgrmaSessao=&amp;dt=20180322&amp;formato=PDF&amp;nreg=201703306786&amp;salvar=false&amp;seq=1687572&amp;tipo=0" TargetMode="External"/><Relationship Id="rId32" Type="http://schemas.openxmlformats.org/officeDocument/2006/relationships/hyperlink" Target="https://www.mpgo.mp.br/portal/noticia/mpgo-conquista-vitoria-no-stj-em-caso-de-violencia-domestica-no-qual-medidas-protetivas-contra-o-agressor-haviam-sido-revogadas-pelo-tjgo" TargetMode="External"/><Relationship Id="rId33" Type="http://schemas.openxmlformats.org/officeDocument/2006/relationships/hyperlink" Target="https://www.ipardes.pr.gov.br/Pagina/Mulheres-do-Parana" TargetMode="External"/><Relationship Id="rId34" Type="http://schemas.openxmlformats.org/officeDocument/2006/relationships/hyperlink" Target="https://mulher-segura.camolezimonica.chatgpt.site/materiais/base/Base_Mestra_Indicadores_Mulher_Segura_COMESP.xlsx" TargetMode="External"/><Relationship Id="rId35" Type="http://schemas.openxmlformats.org/officeDocument/2006/relationships/hyperlink" Target="https://forumseguranca.org.br/wp-content/uploads/2026/07/anuario-2026.pdf" TargetMode="External"/><Relationship Id="rId36" Type="http://schemas.openxmlformats.org/officeDocument/2006/relationships/hyperlink" Target="https://www.planalto.gov.br/ccivil_03/_ato2023-2026/2026/lei/l1538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III — Do direito à resposta institucional</dc:title>
  <dc:subject>Rede Preparada Mulher Segura — Apostila do módulo III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