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</w:pPr>
      <w:r>
        <w:rPr>
          <w:b/>
          <w:color w:val="5B1738"/>
          <w:sz w:val="18"/>
        </w:rPr>
        <w:t>MÓDULO IV · REDES E SERVIÇOS · 4 HORAS</w:t>
      </w:r>
    </w:p>
    <w:p>
      <w:pPr>
        <w:pStyle w:val="Title"/>
        <w:keepLines/>
      </w:pPr>
      <w:r>
        <w:rPr>
          <w:b w:val="0"/>
        </w:rPr>
        <w:t>Organizar a rede, sustentar a proteção</w:t>
      </w:r>
    </w:p>
    <w:p>
      <w:pPr>
        <w:keepLines/>
      </w:pPr>
      <w:r>
        <w:rPr>
          <w:rFonts w:ascii="DejaVu Serif" w:hAnsi="DejaVu Serif"/>
          <w:b w:val="0"/>
          <w:color w:val="5B1738"/>
          <w:sz w:val="26"/>
        </w:rPr>
        <w:t>Redes de enfrentamento e de atendimento: organização territorial, fluxos e proteção continuada de mulheres e meninas.</w:t>
      </w:r>
    </w:p>
    <w:p>
      <w:pPr>
        <w:keepLines/>
      </w:pPr>
      <w:r>
        <w:rPr>
          <w:b w:val="0"/>
        </w:rPr>
        <w:t>O módulo aprofunda a intersetorialidade apresentada no lançamento. Parte das necessidades da mulher para organizar responsabilidades definidas, articulação entre serviços e continuidade.</w:t>
      </w:r>
    </w:p>
    <w:p>
      <w:pPr>
        <w:keepLines/>
        <w:shd w:fill="5B1738"/>
        <w:ind w:left="170" w:right="170"/>
      </w:pPr>
      <w:r>
        <w:rPr>
          <w:b/>
          <w:color w:val="FFFFFF"/>
          <w:sz w:val="18"/>
        </w:rPr>
        <w:t>PERGUNTA ORIENTADORA</w:t>
      </w:r>
    </w:p>
    <w:p>
      <w:pPr>
        <w:keepLines/>
        <w:shd w:fill="5B1738"/>
        <w:ind w:left="170" w:right="170"/>
      </w:pPr>
      <w:r>
        <w:rPr>
          <w:b w:val="0"/>
          <w:color w:val="FFFFFF"/>
          <w:sz w:val="24"/>
        </w:rPr>
        <w:t>Como fazer a rede funcionar a partir das necessidades da mulher, com responsabilidades definidas e continuidade?</w:t>
      </w:r>
    </w:p>
    <w:p>
      <w:pPr>
        <w:keepLines/>
      </w:pPr>
      <w:r>
        <w:rPr>
          <w:b/>
        </w:rPr>
        <w:t>Ao final:</w:t>
      </w:r>
      <w:r>
        <w:t xml:space="preserve"> construir um mapa funcional dos serviços, reconhecer lacunas e elaborar um fluxo preliminar que explicite acolhimento, articulação, retorno e acompanhamento.</w:t>
      </w:r>
    </w:p>
    <w:p>
      <w:pPr>
        <w:keepLines/>
      </w:pPr>
      <w:hyperlink r:id="rId11">
        <w:r>
          <w:rPr>
            <w:color w:val="5B1738"/>
            <w:u w:val="single"/>
          </w:rPr>
          <w:t>Matriz de mapeamento</w:t>
        </w:r>
      </w:hyperlink>
      <w:r>
        <w:t xml:space="preserve">   |   </w:t>
      </w:r>
      <w:hyperlink r:id="rId12">
        <w:r>
          <w:rPr>
            <w:color w:val="5B1738"/>
            <w:u w:val="single"/>
          </w:rPr>
          <w:t>Oficina de fluxo</w:t>
        </w:r>
      </w:hyperlink>
      <w:r>
        <w:t xml:space="preserve">   |   </w:t>
      </w:r>
      <w:hyperlink r:id="rId13">
        <w:r>
          <w:rPr>
            <w:color w:val="5B1738"/>
            <w:u w:val="single"/>
          </w:rPr>
          <w:t>Retomar o módulo III</w:t>
        </w:r>
      </w:hyperlink>
    </w:p>
    <w:p>
      <w:pPr>
        <w:keepLines/>
      </w:pPr>
      <w:r>
        <w:rPr>
          <w:b/>
        </w:rPr>
        <w:t>Apostila ampliada · setembro de 2026.</w:t>
      </w:r>
      <w:r>
        <w:t xml:space="preserve"> A formação articula exposição dialogada, apresentação dos serviços, troca de experiências e construção coletiva de um fluxo de atendimento. Seu ponto de partida é a matriz de direitos e respostas institucionais elaborada no Módulo III.</w:t>
      </w:r>
    </w:p>
    <w:p>
      <w:pPr>
        <w:keepLines/>
      </w:pPr>
      <w:r>
        <w:rPr>
          <w:b w:val="0"/>
        </w:rPr>
        <w:t>O plano pedagógico estabelece três objetivos: mapear serviços locais e regionais; compreender a atuação intersetorial e a referência e contrarreferência; e fortalecer o trabalho em rede. Ao longo das quatro horas, cada grupo deverá transformar esses objetivos em três produtos: mapa funcional, fluxo preliminar e quadro de pendências para pactuação. A organização preserva os quatro blocos, os links e a oficina do hub.</w:t>
      </w:r>
    </w:p>
    <w:p>
      <w:pPr>
        <w:keepLines/>
      </w:pPr>
      <w:r>
        <w:rPr>
          <w:b w:val="0"/>
        </w:rPr>
        <w:t>Uma mulher não vive suas necessidades separadas por secretaria. Uma ameaça pode coexistir com adoecimento, insegurança de moradia, dependência econômica e preocupação com filhas e filhos. Organizar a rede significa reconhecer essas relações e construir respostas que possam ocorrer de forma articulada, sem transferir à mulher a tarefa de conectar as instituições.</w:t>
      </w:r>
    </w:p>
    <w:p>
      <w:pPr>
        <w:pStyle w:val="Heading1"/>
        <w:keepNext/>
        <w:keepLines/>
      </w:pPr>
      <w:r>
        <w:t>Bloco 1 — Que rede estamos construindo?</w:t>
      </w:r>
    </w:p>
    <w:p>
      <w:pPr>
        <w:keepLines/>
      </w:pPr>
      <w:r>
        <w:rPr>
          <w:b/>
        </w:rPr>
        <w:t>Rede de enfrentamento:</w:t>
      </w:r>
      <w:r>
        <w:t xml:space="preserve"> articulação mais ampla entre políticas públicas, instituições, movimentos, organizações e comunidade, envolvendo prevenção, garantia de direitos, assistência e responsabilização.</w:t>
      </w:r>
    </w:p>
    <w:p>
      <w:pPr>
        <w:keepLines/>
      </w:pPr>
      <w:r>
        <w:rPr>
          <w:b/>
        </w:rPr>
        <w:t>Rede de atendimento:</w:t>
      </w:r>
      <w:r>
        <w:t xml:space="preserve"> conjunto de serviços que presta atendimento direto às mulheres em situação de violência e integra a rede de enfrentamento.</w:t>
      </w:r>
    </w:p>
    <w:p>
      <w:pPr>
        <w:keepLines/>
      </w:pPr>
      <w:hyperlink r:id="rId14">
        <w:r>
          <w:rPr>
            <w:color w:val="5B1738"/>
            <w:u w:val="single"/>
          </w:rPr>
          <w:t>Documento de referência · Secretaria de Políticas para as Mulheres ↗</w:t>
        </w:r>
      </w:hyperlink>
    </w:p>
    <w:p>
      <w:pPr>
        <w:keepNext/>
        <w:keepLines/>
      </w:pPr>
      <w:r>
        <w:rPr>
          <w:b/>
        </w:rPr>
        <w:t>Aplicação pedagógica</w:t>
      </w:r>
    </w:p>
    <w:p>
      <w:pPr>
        <w:keepLines/>
      </w:pPr>
      <w:r>
        <w:rPr>
          <w:b w:val="0"/>
        </w:rPr>
        <w:t>Identificar quem participa das decisões da rede, quem atende diretamente e quais instituições precisam ser incorporadas. A presença de serviços no território é uma condição importante; a articulação depende de acordos, comunicação e responsabilidades verificáveis.</w:t>
      </w:r>
    </w:p>
    <w:p>
      <w:pPr>
        <w:pStyle w:val="Heading2"/>
        <w:keepLines/>
      </w:pPr>
      <w:r>
        <w:rPr>
          <w:b w:val="0"/>
        </w:rPr>
        <w:t>1.1 Proteção como responsabilidade pública compartilhada</w:t>
      </w:r>
    </w:p>
    <w:p>
      <w:pPr>
        <w:keepLines/>
      </w:pPr>
      <w:r>
        <w:rPr>
          <w:b w:val="0"/>
        </w:rPr>
        <w:t>O conceito de rede de proteção permite examinar como instituições diferentes participam da garantia de direitos. A existência de um serviço é relevante, mas a proteção depende também de acesso, qualidade da resposta e continuidade. Uma mulher pode ter sido atendida em vários locais e ainda permanecer sem uma necessidade essencial respondida. Por isso, o número de encaminhamentos realizados não demonstra, por si, que a rede funcionou.</w:t>
      </w:r>
    </w:p>
    <w:p>
      <w:pPr>
        <w:keepLines/>
      </w:pPr>
      <w:r>
        <w:rPr>
          <w:b w:val="0"/>
        </w:rPr>
        <w:t>A rede de enfrentamento abrange a atuação política e institucional sobre a violência, incluindo prevenção, participação social, produção de informação e garantia de direitos. A rede de atendimento constitui sua dimensão de cuidado e resposta direta. Essa distinção ajuda a definir quem precisa participar de uma discussão sobre políticas e recursos e quem precisa ser acionado diante de uma necessidade concreta de atendimento.</w:t>
      </w:r>
    </w:p>
    <w:p>
      <w:pPr>
        <w:keepLines/>
      </w:pPr>
      <w:r>
        <w:rPr>
          <w:b w:val="0"/>
        </w:rPr>
        <w:t>Conselhos de direitos, movimentos de mulheres e organizações comunitárias podem contribuir para identificar barreiras e acompanhar políticas. Sua participação não os transforma automaticamente em destinatários de prontuários ou relatos identificáveis. A discussão de problemas da rede deve preservar as informações pessoais das mulheres e meninas atendidas.</w:t>
      </w:r>
    </w:p>
    <w:p>
      <w:pPr>
        <w:pStyle w:val="Heading2"/>
        <w:keepLines/>
      </w:pPr>
      <w:r>
        <w:rPr>
          <w:b w:val="0"/>
        </w:rPr>
        <w:t>1.2 Intersetorialidade e corresponsabilidade</w:t>
      </w:r>
    </w:p>
    <w:p>
      <w:pPr>
        <w:keepLines/>
      </w:pPr>
      <w:r>
        <w:rPr>
          <w:b w:val="0"/>
        </w:rPr>
        <w:t>A intersetorialidade se concretiza quando setores diferentes reconhecem uma necessidade comum, definem suas contribuições e sustentam a comunicação necessária para atendê-la. Não exige que todos façam a mesma coisa. Ao contrário, depende de atribuições claras: cuidado em saúde, acompanhamento socioassistencial, proteção de crianças e adolescentes, segurança e acesso à justiça precisam dialogar sem que uma equipe assuma competências para as quais não está habilitada.</w:t>
      </w:r>
    </w:p>
    <w:p>
      <w:pPr>
        <w:keepLines/>
      </w:pPr>
      <w:r>
        <w:rPr>
          <w:b w:val="0"/>
        </w:rPr>
        <w:t>Na organização cotidiana, corresponsabilidade significa que cada instituição responde por sua parte e verifica as interfaces que dependem de outras. Encaminhar não encerra automaticamente a responsabilidade do serviço de origem. A equipe deve saber qual atendimento solicitou, se a solicitação foi recebida e como agir diante de uma barreira, mantendo o acompanhamento pertinente à sua função.</w:t>
      </w:r>
    </w:p>
    <w:p>
      <w:pPr>
        <w:keepLines/>
      </w:pPr>
      <w:r>
        <w:rPr>
          <w:b w:val="0"/>
        </w:rPr>
        <w:t>Os arts. 8º e 9º da Lei Maria da Penha fundamentam a integração das políticas públicas e a assistência articulada. A Lei nº 14.899/2024 acrescenta instrumentos de planejamento e monitoramento das redes. Para a aula, a questão é operacional: quais acordos transformam essa previsão em uma resposta que a mulher consiga acessar?</w:t>
      </w:r>
    </w:p>
    <w:p>
      <w:pPr>
        <w:keepLines/>
      </w:pPr>
      <w:hyperlink r:id="rId15">
        <w:r>
          <w:rPr>
            <w:color w:val="5B1738"/>
            <w:u w:val="single"/>
          </w:rPr>
          <w:t>Lei Maria da Penha — arts. 8º e 9º</w:t>
        </w:r>
      </w:hyperlink>
      <w:r>
        <w:t xml:space="preserve"> · </w:t>
      </w:r>
      <w:hyperlink r:id="rId16">
        <w:r>
          <w:rPr>
            <w:color w:val="5B1738"/>
            <w:u w:val="single"/>
          </w:rPr>
          <w:t>Lei nº 14.899/2024 — planejamento e articulação das redes</w:t>
        </w:r>
      </w:hyperlink>
      <w:r>
        <w:t>.</w:t>
      </w:r>
    </w:p>
    <w:p>
      <w:pPr>
        <w:pStyle w:val="Heading2"/>
        <w:keepLines/>
      </w:pPr>
      <w:r>
        <w:rPr>
          <w:b w:val="0"/>
        </w:rPr>
        <w:t>1.3 Autonomia e atenção às desigualdades</w:t>
      </w:r>
    </w:p>
    <w:p>
      <w:pPr>
        <w:keepLines/>
      </w:pPr>
      <w:r>
        <w:rPr>
          <w:b w:val="0"/>
        </w:rPr>
        <w:t>Uma resposta protetiva precisa explicar possibilidades e ouvir as prioridades da mulher. A equipe pode apresentar alternativas e identificar riscos sem impor um percurso único como condição de merecimento do cuidado. O retorno à convivência com o agressor, a recusa de uma alternativa ou a dificuldade de comparecer não devem ser interpretados automaticamente como desinteresse pela própria proteção.</w:t>
      </w:r>
    </w:p>
    <w:p>
      <w:pPr>
        <w:keepLines/>
      </w:pPr>
      <w:r>
        <w:rPr>
          <w:b w:val="0"/>
        </w:rPr>
        <w:t>Raça, renda, deficiência, idade, orientação sexual, identidade de gênero, pertencimento étnico, migração e lugar de moradia podem se combinar na produção de barreiras. A análise interseccional pergunta como essas condições interferem naquela situação, sem presumir que todas as mulheres de um grupo tenham as mesmas necessidades. O atendimento acessível deve considerar linguagem, mobilidade, comunicação, segurança e responsabilidades de cuidado.</w:t>
      </w:r>
    </w:p>
    <w:p>
      <w:pPr>
        <w:keepLines/>
      </w:pPr>
      <w:r>
        <w:rPr>
          <w:b/>
        </w:rPr>
        <w:t>Questão para a exposição dialogada:</w:t>
      </w:r>
      <w:r>
        <w:t xml:space="preserve"> uma mulher recebe três encaminhamentos e não consegue utilizar nenhum porque precisa de transporte e não tem com quem deixar uma criança. Quais decisões institucionais poderiam modificar esse percurso? A resposta deve indicar recursos e articulações possíveis, sem responsabilizá-la pela falta de acesso.</w:t>
      </w:r>
    </w:p>
    <w:p>
      <w:pPr>
        <w:pStyle w:val="Heading1"/>
        <w:keepNext/>
        <w:keepLines/>
      </w:pPr>
      <w:r>
        <w:t>Bloco 2 — Mapeamento territorial orientado pelo acesso</w:t>
      </w:r>
    </w:p>
    <w:p>
      <w:pPr>
        <w:keepLines/>
      </w:pPr>
      <w:r>
        <w:rPr>
          <w:b w:val="0"/>
        </w:rPr>
        <w:t>Mapear o percurso real de acesso, incluindo deslocamento, horários, acessibilidade, cuidado com dependentes e alternativas fora do expediente.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7648"/>
      </w:tblGrid>
      <w:tr>
        <w:trPr>
          <w:cantSplit/>
          <w:tblHeader/>
        </w:trPr>
        <w:tc>
          <w:tcPr>
            <w:tcW w:type="dxa" w:w="2551"/>
            <w:vAlign w:val="center"/>
            <w:shd w:fill="5B1738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/>
                <w:color w:val="FFFFFF"/>
                <w:sz w:val="18"/>
              </w:rPr>
              <w:t>Campo</w:t>
            </w:r>
          </w:p>
        </w:tc>
        <w:tc>
          <w:tcPr>
            <w:tcW w:type="dxa" w:w="7648"/>
            <w:vAlign w:val="center"/>
            <w:shd w:fill="5B1738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/>
                <w:color w:val="FFFFFF"/>
                <w:sz w:val="18"/>
              </w:rPr>
              <w:t>Informação necessária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Serviço e função</w:t>
            </w:r>
          </w:p>
        </w:tc>
        <w:tc>
          <w:tcPr>
            <w:tcW w:type="dxa" w:w="764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Que atendimento efetivamente oferece?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Abrangência</w:t>
            </w:r>
          </w:p>
        </w:tc>
        <w:tc>
          <w:tcPr>
            <w:tcW w:type="dxa" w:w="7648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Atende o município, a comarca ou determinada região?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Acesso</w:t>
            </w:r>
          </w:p>
        </w:tc>
        <w:tc>
          <w:tcPr>
            <w:tcW w:type="dxa" w:w="764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Demanda espontânea, agendamento ou encaminhamento?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Funcionamento</w:t>
            </w:r>
          </w:p>
        </w:tc>
        <w:tc>
          <w:tcPr>
            <w:tcW w:type="dxa" w:w="7648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Dias, horários e alternativa fora do expediente.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Contato institucional</w:t>
            </w:r>
          </w:p>
        </w:tc>
        <w:tc>
          <w:tcPr>
            <w:tcW w:type="dxa" w:w="764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Canal seguro e atualizado para articulação.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Acessibilidade</w:t>
            </w:r>
          </w:p>
        </w:tc>
        <w:tc>
          <w:tcPr>
            <w:tcW w:type="dxa" w:w="7648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Condições físicas, comunicacionais e de deslocamento.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Retorno</w:t>
            </w:r>
          </w:p>
        </w:tc>
        <w:tc>
          <w:tcPr>
            <w:tcW w:type="dxa" w:w="764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Como informa o recebimento e os próximos passos?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Validação</w:t>
            </w:r>
          </w:p>
        </w:tc>
        <w:tc>
          <w:tcPr>
            <w:tcW w:type="dxa" w:w="7648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Data e responsável pela conferência das informações.</w:t>
            </w:r>
          </w:p>
        </w:tc>
      </w:tr>
    </w:tbl>
    <w:p>
      <w:pPr>
        <w:keepLines/>
        <w:spacing w:after="0"/>
      </w:pPr>
    </w:p>
    <w:p>
      <w:pPr>
        <w:keepLines/>
      </w:pPr>
      <w:r>
        <w:rPr>
          <w:b w:val="0"/>
        </w:rPr>
        <w:t>Incluir serviços de políticas para mulheres, saúde, assistência social, educação, segurança, justiça e proteção de crianças e adolescentes, conforme a realidade territorial.</w:t>
      </w:r>
    </w:p>
    <w:p>
      <w:pPr>
        <w:keepLines/>
      </w:pPr>
      <w:r>
        <w:rPr>
          <w:b w:val="0"/>
        </w:rPr>
        <w:t>A presença e a abrangência de CREAS, Casa da Mulher, serviços de saúde e abrigos precisam ser verificadas por município. Distinguir a especialização socioassistencial do CREAS dos serviços especializados de atendimento às mulheres.</w:t>
      </w:r>
    </w:p>
    <w:p>
      <w:pPr>
        <w:pStyle w:val="Heading2"/>
        <w:keepLines/>
      </w:pPr>
      <w:r>
        <w:rPr>
          <w:b w:val="0"/>
        </w:rPr>
        <w:t>2.1 O que cada serviço oferece</w:t>
      </w:r>
    </w:p>
    <w:p>
      <w:pPr>
        <w:keepLines/>
      </w:pPr>
      <w:r>
        <w:rPr>
          <w:b w:val="0"/>
        </w:rPr>
        <w:t>O mapa funcional começa pela oferta efetiva. O nome do equipamento não basta para saber sua função, seu público ou sua abrangência. Equipamentos denominados “Casa da Mulher” podem integrar programas e arranjos distintos. É necessário verificar se oferecem atendimento psicossocial, orientação, atividades de autonomia econômica, serviços de justiça, acolhimento residencial ou uma combinação dessas respostas.</w:t>
      </w:r>
    </w:p>
    <w:p>
      <w:pPr>
        <w:keepLines/>
      </w:pPr>
      <w:r>
        <w:rPr>
          <w:b/>
        </w:rPr>
        <w:t>CREAS e PAEFI.</w:t>
      </w:r>
      <w:r>
        <w:t xml:space="preserve"> O Centro de Referência Especializado de Assistência Social é uma unidade pública do SUAS voltada a situações de risco pessoal e social por violação de direitos. O PAEFI oferece apoio, orientação e acompanhamento especializado a famílias e indivíduos. O CREAS pode atender mulheres e meninas em situação de violência, mas sua especialização é socioassistencial; não se confunde com um serviço exclusivo da política para mulheres, com hospital, delegacia ou abrigo.</w:t>
      </w:r>
    </w:p>
    <w:p>
      <w:pPr>
        <w:keepLines/>
      </w:pPr>
      <w:hyperlink r:id="rId17">
        <w:r>
          <w:rPr>
            <w:color w:val="5B1738"/>
            <w:u w:val="single"/>
          </w:rPr>
          <w:t>MDS — acesso ao CREAS</w:t>
        </w:r>
      </w:hyperlink>
      <w:r>
        <w:t xml:space="preserve"> · </w:t>
      </w:r>
      <w:hyperlink r:id="rId18">
        <w:r>
          <w:rPr>
            <w:color w:val="5B1738"/>
            <w:u w:val="single"/>
          </w:rPr>
          <w:t>Resolução CNAS nº 109/2009 — Tipificação Nacional dos Serviços Socioassistenciais</w:t>
        </w:r>
      </w:hyperlink>
      <w:r>
        <w:t>.</w:t>
      </w:r>
    </w:p>
    <w:p>
      <w:pPr>
        <w:keepLines/>
      </w:pPr>
      <w:r>
        <w:rPr>
          <w:b/>
        </w:rPr>
        <w:t>Centros de referência de atendimento à mulher.</w:t>
      </w:r>
      <w:r>
        <w:t xml:space="preserve"> São serviços especializados no atendimento a mulheres em situação de violência, com acolhimento e acompanhamento psicossocial, orientação e articulação para acesso a direitos, conforme sua estrutura. Podem assumir papel importante na continuidade do cuidado, em diálogo com saúde, assistência, segurança e justiça. A oferta jurídica precisa ser descrita com precisão: orientação, encaminhamento e representação judicial não são expressões equivalentes.</w:t>
      </w:r>
    </w:p>
    <w:p>
      <w:pPr>
        <w:keepLines/>
      </w:pPr>
      <w:hyperlink r:id="rId19">
        <w:r>
          <w:rPr>
            <w:color w:val="5B1738"/>
            <w:u w:val="single"/>
          </w:rPr>
          <w:t>SEMIPI Paraná — função dos centros de referência de atendimento à mulher</w:t>
        </w:r>
      </w:hyperlink>
      <w:r>
        <w:t>.</w:t>
      </w:r>
    </w:p>
    <w:p>
      <w:pPr>
        <w:keepLines/>
      </w:pPr>
      <w:r>
        <w:rPr>
          <w:b/>
        </w:rPr>
        <w:t>Casa da Mulher Brasileira.</w:t>
      </w:r>
      <w:r>
        <w:t xml:space="preserve"> Reúne diferentes atendimentos em um espaço integrado, conforme a composição da unidade. A integração física pode reduzir deslocamentos, mas não elimina a necessidade de articulação com os serviços do território. O funcionamento geral do equipamento não permite presumir que todos os órgãos instalados nele tenham o mesmo horário ou que cada modalidade de atendimento esteja disponível a qualquer momento.</w:t>
      </w:r>
    </w:p>
    <w:p>
      <w:pPr>
        <w:keepLines/>
      </w:pPr>
      <w:r>
        <w:rPr>
          <w:b/>
        </w:rPr>
        <w:t>Saúde.</w:t>
      </w:r>
      <w:r>
        <w:t xml:space="preserve"> Unidades de atenção primária, urgência e emergência, hospitais e serviços especializados têm funções distintas. O cuidado inclui necessidades físicas e de saúde mental e a continuidade do acompanhamento. Em violência sexual, é necessário conhecer a referência territorial e a via de acesso, sem condicionar o atendimento em saúde a registro policial. Protocolos clínicos e procedimentos específicos serão aprofundados no módulo próprio da saúde.</w:t>
      </w:r>
    </w:p>
    <w:p>
      <w:pPr>
        <w:keepLines/>
      </w:pPr>
      <w:hyperlink r:id="rId20">
        <w:r>
          <w:rPr>
            <w:color w:val="5B1738"/>
            <w:u w:val="single"/>
          </w:rPr>
          <w:t>Ministério da Saúde — Guia prático de cuidado à mulher em situação de violência</w:t>
        </w:r>
      </w:hyperlink>
      <w:r>
        <w:t xml:space="preserve"> · </w:t>
      </w:r>
      <w:hyperlink r:id="rId21">
        <w:r>
          <w:rPr>
            <w:color w:val="5B1738"/>
            <w:u w:val="single"/>
          </w:rPr>
          <w:t>Lei nº 12.845/2013 — atendimento integral em violência sexual</w:t>
        </w:r>
      </w:hyperlink>
      <w:r>
        <w:t>.</w:t>
      </w:r>
    </w:p>
    <w:p>
      <w:pPr>
        <w:keepLines/>
      </w:pPr>
      <w:r>
        <w:rPr>
          <w:b/>
        </w:rPr>
        <w:t>Abrigos e acolhimento protegido.</w:t>
      </w:r>
      <w:r>
        <w:t xml:space="preserve"> Respondem a necessidades de proteção e acolhimento provisório, segundo a modalidade e a avaliação da situação. Acolhimento residencial não é sinônimo de atendimento psicossocial diurno. O mapa deve registrar o canal institucional de acesso, a abrangência, as condições para dependentes e a alternativa quando não houver vaga. Endereços sigilosos de abrigos não devem integrar materiais públicos ou mapas de circulação ampla.</w:t>
      </w:r>
    </w:p>
    <w:p>
      <w:pPr>
        <w:keepLines/>
      </w:pPr>
      <w:r>
        <w:rPr>
          <w:b/>
        </w:rPr>
        <w:t>Outras instituições.</w:t>
      </w:r>
      <w:r>
        <w:t xml:space="preserve"> Delegacias, patrulhas especializadas, Defensoria Pública, Ministério Público e Judiciário participam com suas competências próprias. Educação, Conselho Tutelar e demais serviços de proteção de crianças e adolescentes precisam ser considerados quando houver meninas ou dependentes com direitos ameaçados. A atuação de um órgão não substitui as atribuições dos demais.</w:t>
      </w:r>
    </w:p>
    <w:p>
      <w:pPr>
        <w:pStyle w:val="Heading2"/>
        <w:keepLines/>
      </w:pPr>
      <w:r>
        <w:rPr>
          <w:b w:val="0"/>
        </w:rPr>
        <w:t>2.2 Serviços e referências territoriais para apresentar na aula</w:t>
      </w:r>
    </w:p>
    <w:p>
      <w:pPr>
        <w:keepLines/>
      </w:pPr>
      <w:r>
        <w:rPr>
          <w:b w:val="0"/>
        </w:rPr>
        <w:t>Os exemplos abaixo foram identificados em fontes oficiais consultadas em 16/09/2026. Servem à apresentação dos diferentes arranjos existentes e ao exercício de mapeamento. A informação publicada precisa ser complementada pela validação institucional de horários específicos, abrangência e forma de acesso; não constitui garantia de vaga ou de atendimento regional em todas as modalidades.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3969"/>
        <w:gridCol w:w="3679"/>
      </w:tblGrid>
      <w:tr>
        <w:trPr>
          <w:cantSplit/>
          <w:tblHeader/>
        </w:trPr>
        <w:tc>
          <w:tcPr>
            <w:tcW w:type="dxa" w:w="2551"/>
            <w:vAlign w:val="center"/>
            <w:shd w:fill="5B1738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/>
                <w:color w:val="FFFFFF"/>
                <w:sz w:val="18"/>
              </w:rPr>
              <w:t>Território e referência</w:t>
            </w:r>
          </w:p>
        </w:tc>
        <w:tc>
          <w:tcPr>
            <w:tcW w:type="dxa" w:w="3969"/>
            <w:vAlign w:val="center"/>
            <w:shd w:fill="5B1738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/>
                <w:color w:val="FFFFFF"/>
                <w:sz w:val="18"/>
              </w:rPr>
              <w:t>Oferta ou informação publicada</w:t>
            </w:r>
          </w:p>
        </w:tc>
        <w:tc>
          <w:tcPr>
            <w:tcW w:type="dxa" w:w="3679"/>
            <w:vAlign w:val="center"/>
            <w:shd w:fill="5B1738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/>
                <w:color w:val="FFFFFF"/>
                <w:sz w:val="18"/>
              </w:rPr>
              <w:t>O que validar no mapa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Curitiba — Casa da Mulher Brasileira</w:t>
            </w:r>
          </w:p>
        </w:tc>
        <w:tc>
          <w:tcPr>
            <w:tcW w:type="dxa" w:w="3969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Acolhimento integrado. A Prefeitura informa funcionamento 24h, Av. Paraná, 870, Cabral; telefones (41) 3221-2701 e 3221-2710.</w:t>
            </w:r>
          </w:p>
        </w:tc>
        <w:tc>
          <w:tcPr>
            <w:tcW w:type="dxa" w:w="3679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Horário e acesso de cada serviço interno; atendimento a residentes de outros municípios; articulação com a origem.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Pinhais — Centro de Referência Maria da Penha</w:t>
            </w:r>
          </w:p>
        </w:tc>
        <w:tc>
          <w:tcPr>
            <w:tcW w:type="dxa" w:w="3969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Acolhimento, orientação jurídica e acompanhamento psicossocial. Rua 21 de Abril, 321, Centro; (41) 99226-0692.</w:t>
            </w:r>
          </w:p>
        </w:tc>
        <w:tc>
          <w:tcPr>
            <w:tcW w:type="dxa" w:w="3679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Horários, acesso, referência profissional e procedimentos de retorno. Não confundir com a Casa da Mulher Paranaense anunciada em implantação.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São José dos Pinhais — CREAS e Casa de Alice</w:t>
            </w:r>
          </w:p>
        </w:tc>
        <w:tc>
          <w:tcPr>
            <w:tcW w:type="dxa" w:w="3969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A Prefeitura apresenta o CREAS e o acolhimento protegido da Casa de Alice como componentes da rede. Contato publicado do CREAS: (41) 3398-2575.</w:t>
            </w:r>
          </w:p>
        </w:tc>
        <w:tc>
          <w:tcPr>
            <w:tcW w:type="dxa" w:w="3679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Fluxo de solicitação de acolhimento, critérios, dependentes e alternativa fora do expediente. Preservar a localização sigilosa do abrigo.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1ª Região de Saúde — Guaratuba e Pontal do Paraná, entre outros municípios</w:t>
            </w:r>
          </w:p>
        </w:tc>
        <w:tc>
          <w:tcPr>
            <w:tcW w:type="dxa" w:w="3969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A relação estadual de atenção à violência sexual indica o Hospital Regional do Litoral, em Paranaguá.</w:t>
            </w:r>
          </w:p>
        </w:tc>
        <w:tc>
          <w:tcPr>
            <w:tcW w:type="dxa" w:w="3679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Via de acesso, deslocamento e continuidade no município de residência, conforme o fluxo de saúde.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2ª Região de Saúde — municípios metropolitanos da base do hub</w:t>
            </w:r>
          </w:p>
        </w:tc>
        <w:tc>
          <w:tcPr>
            <w:tcW w:type="dxa" w:w="3969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A relação estadual indica Hospital de Clínicas, Pequeno Príncipe, Hospital do Trabalhador e Evangélico Mackenzie, com públicos definidos.</w:t>
            </w:r>
          </w:p>
        </w:tc>
        <w:tc>
          <w:tcPr>
            <w:tcW w:type="dxa" w:w="3679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Unidade pertinente à idade e à situação; acesso e continuidade. Não encaminhar indistintamente a qualquer hospital da lista.</w:t>
            </w:r>
          </w:p>
        </w:tc>
      </w:tr>
    </w:tbl>
    <w:p>
      <w:pPr>
        <w:keepLines/>
        <w:spacing w:after="0"/>
      </w:pPr>
    </w:p>
    <w:p>
      <w:pPr>
        <w:keepLines/>
      </w:pPr>
      <w:r>
        <w:rPr>
          <w:b/>
        </w:rPr>
        <w:t>Fontes dos exemplos:</w:t>
      </w:r>
      <w:r>
        <w:t xml:space="preserve"> </w:t>
      </w:r>
      <w:hyperlink r:id="rId22">
        <w:r>
          <w:rPr>
            <w:color w:val="5B1738"/>
            <w:u w:val="single"/>
          </w:rPr>
          <w:t>Curitiba — publicação de 18/06/2026</w:t>
        </w:r>
      </w:hyperlink>
      <w:r>
        <w:t xml:space="preserve">; </w:t>
      </w:r>
      <w:hyperlink r:id="rId23">
        <w:r>
          <w:rPr>
            <w:color w:val="5B1738"/>
            <w:u w:val="single"/>
          </w:rPr>
          <w:t>Pinhais — publicação de 07/08/2026</w:t>
        </w:r>
      </w:hyperlink>
      <w:r>
        <w:t xml:space="preserve">; </w:t>
      </w:r>
      <w:hyperlink r:id="rId24">
        <w:r>
          <w:rPr>
            <w:color w:val="5B1738"/>
            <w:u w:val="single"/>
          </w:rPr>
          <w:t>São José dos Pinhais — publicação de 01/08/2025</w:t>
        </w:r>
      </w:hyperlink>
      <w:r>
        <w:t xml:space="preserve">; </w:t>
      </w:r>
      <w:hyperlink r:id="rId25">
        <w:r>
          <w:rPr>
            <w:color w:val="5B1738"/>
            <w:u w:val="single"/>
          </w:rPr>
          <w:t>SESA — relação de referências por Região de Saúde</w:t>
        </w:r>
      </w:hyperlink>
      <w:r>
        <w:t>.</w:t>
      </w:r>
    </w:p>
    <w:p>
      <w:pPr>
        <w:keepLines/>
      </w:pPr>
      <w:r>
        <w:rPr>
          <w:b w:val="0"/>
        </w:rPr>
        <w:t>A relação estadual permite visualizar que a resposta regional pode estar fora do município de residência. Isso exige combinar acesso ao serviço especializado e continuidade local. A confirmação do destino deve ocorrer pelos canais da rede, sem impor à mulher a tarefa de negociar sozinha a entrada. Em situações urgentes, acionar a resposta pertinente sem aguardar reunião de rede ou conclusão do mapa.</w:t>
      </w:r>
    </w:p>
    <w:p>
      <w:pPr>
        <w:keepLines/>
      </w:pPr>
      <w:hyperlink r:id="rId26">
        <w:r>
          <w:rPr>
            <w:color w:val="5B1738"/>
            <w:u w:val="single"/>
          </w:rPr>
          <w:t>SESA — página de atenção às pessoas em situação de violência e referências</w:t>
        </w:r>
      </w:hyperlink>
      <w:r>
        <w:t xml:space="preserve"> · </w:t>
      </w:r>
      <w:hyperlink r:id="rId27">
        <w:r>
          <w:rPr>
            <w:color w:val="5B1738"/>
            <w:u w:val="single"/>
          </w:rPr>
          <w:t>PCPR — orientação e acesso aos serviços policiais</w:t>
        </w:r>
      </w:hyperlink>
      <w:r>
        <w:t>.</w:t>
      </w:r>
    </w:p>
    <w:p>
      <w:pPr>
        <w:pStyle w:val="Heading2"/>
        <w:keepLines/>
      </w:pPr>
      <w:r>
        <w:rPr>
          <w:b w:val="0"/>
        </w:rPr>
        <w:t>2.3 Transformar a lista de serviços em mapa de acesso</w:t>
      </w:r>
    </w:p>
    <w:p>
      <w:pPr>
        <w:keepLines/>
      </w:pPr>
      <w:r>
        <w:rPr>
          <w:b w:val="0"/>
        </w:rPr>
        <w:t>Uma lista informa onde existe um equipamento; um mapa funcional explica como utilizá-lo. A equipe deve verificar o que acontece entre a identificação da necessidade e o atendimento: possibilidade de demanda espontânea, forma de agendamento, documentação solicitada, deslocamento e confirmação de recebimento. Exigências sem fundamento ou incompatíveis com a urgência devem ser discutidas institucionalmente, sem simplesmente repassá-las à mulher.</w:t>
      </w:r>
    </w:p>
    <w:p>
      <w:pPr>
        <w:keepLines/>
      </w:pPr>
      <w:r>
        <w:rPr>
          <w:b w:val="0"/>
        </w:rPr>
        <w:t>O mapa também precisa incluir o que acontece fora do expediente. Quando um serviço funciona apenas durante o dia, qual resposta atende à situação que surge à noite? Quem confirma a possibilidade de acolhimento? Quem organiza transporte? O registro de uma lacuna é um resultado útil do diagnóstico e deve gerar uma pendência de pactuação, em vez de ser encoberto por uma seta para um serviço indisponível.</w:t>
      </w:r>
    </w:p>
    <w:p>
      <w:pPr>
        <w:keepLines/>
      </w:pPr>
      <w:r>
        <w:rPr>
          <w:b w:val="0"/>
        </w:rPr>
        <w:t>A abrangência de um serviço regional não deve ser deduzida de sua proximidade. Acordos de acesso, responsabilidades e financiamento precisam ser conferidos com a gestão. O consórcio pode constituir espaço de articulação entre municípios, mas a oficina não pode atribuir ao COMESP compromissos que ainda não foram formalizados.</w:t>
      </w:r>
    </w:p>
    <w:p>
      <w:pPr>
        <w:pStyle w:val="Heading2"/>
        <w:keepLines/>
      </w:pPr>
      <w:r>
        <w:rPr>
          <w:b w:val="0"/>
        </w:rPr>
        <w:t>2.4 Dados do hub como perguntas sobre a rede</w:t>
      </w:r>
    </w:p>
    <w:p>
      <w:pPr>
        <w:keepLines/>
      </w:pPr>
      <w:r>
        <w:rPr>
          <w:b w:val="0"/>
        </w:rPr>
        <w:t>Na base do hub, Pinhais registra 534 ocorrências no indicador “Violência Doméstica Contra a Mulher” em 2024 e 639 em 2025. Fazenda Rio Grande apresenta 3.187 e 2.922 registros no indicador “Violência Contra a Mulher”. Esses dados ajudam a perguntar que demandas chegam à rede e quais respostas estão acessíveis; não medem, isoladamente, a cobertura, a qualidade dos serviços ou a prevalência da violência.</w:t>
      </w:r>
    </w:p>
    <w:p>
      <w:pPr>
        <w:keepLines/>
      </w:pPr>
      <w:r>
        <w:rPr>
          <w:b w:val="0"/>
        </w:rPr>
        <w:t>A fonte municipal é o painel Mulheres do Paraná, IPARDES/SESP, com atualização indicada em 04/02/2026 e consolidação da base do hub em 23/08/2026. Os indicadores têm rótulos distintos, não devem ser somados e não equivalem a mulheres únicas. A ausência de registros de feminicídio não dispensa ações de prevenção, e uma queda nos registros não comprova melhora do atendimento.</w:t>
      </w:r>
    </w:p>
    <w:p>
      <w:pPr>
        <w:keepLines/>
      </w:pPr>
      <w:hyperlink r:id="rId28">
        <w:r>
          <w:rPr>
            <w:color w:val="5B1738"/>
            <w:u w:val="single"/>
          </w:rPr>
          <w:t>Base territorial utilizada no hub</w:t>
        </w:r>
      </w:hyperlink>
      <w:r>
        <w:t xml:space="preserve"> · </w:t>
      </w:r>
      <w:hyperlink r:id="rId29">
        <w:r>
          <w:rPr>
            <w:color w:val="5B1738"/>
            <w:u w:val="single"/>
          </w:rPr>
          <w:t>IPARDES — Mulheres do Paraná</w:t>
        </w:r>
      </w:hyperlink>
      <w:r>
        <w:t>.</w:t>
      </w:r>
    </w:p>
    <w:p>
      <w:pPr>
        <w:keepLines/>
      </w:pPr>
      <w:r>
        <w:rPr>
          <w:b/>
        </w:rPr>
        <w:t>Dinâmica do bloco 2 — 45 minutos:</w:t>
      </w:r>
      <w:r>
        <w:t xml:space="preserve"> reservar 10 minutos para apresentar as funções e os exemplos de serviços; 20 para grupos municipais ou regionais preencherem a matriz do hub; e 15 para socializar uma referência confirmada, uma barreira e uma informação pendente. Cada equipe apresenta o serviço que conhece, indicando oferta, público, acesso e retorno. Se uma informação não foi conferida, registrar “a validar”, sem convertê-la em orientação definitiva.</w:t>
      </w:r>
    </w:p>
    <w:p>
      <w:pPr>
        <w:pStyle w:val="Heading1"/>
        <w:keepNext/>
        <w:keepLines/>
      </w:pPr>
      <w:r>
        <w:t>Bloco 3 — Acolhimento, referência, contrarreferência e acompanhamento</w:t>
      </w:r>
    </w:p>
    <w:p>
      <w:pPr>
        <w:keepLines/>
      </w:pPr>
      <w:r>
        <w:rPr>
          <w:b w:val="0"/>
        </w:rPr>
        <w:t>Retomar os conceitos da palestra 2 e aplicá-los à organização do trabalho.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7648"/>
      </w:tblGrid>
      <w:tr>
        <w:trPr>
          <w:cantSplit/>
          <w:tblHeader/>
        </w:trPr>
        <w:tc>
          <w:tcPr>
            <w:tcW w:type="dxa" w:w="2551"/>
            <w:vAlign w:val="center"/>
            <w:shd w:fill="5B1738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/>
                <w:color w:val="FFFFFF"/>
                <w:sz w:val="18"/>
              </w:rPr>
              <w:t>Processo</w:t>
            </w:r>
          </w:p>
        </w:tc>
        <w:tc>
          <w:tcPr>
            <w:tcW w:type="dxa" w:w="7648"/>
            <w:vAlign w:val="center"/>
            <w:shd w:fill="5B1738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/>
                <w:color w:val="FFFFFF"/>
                <w:sz w:val="18"/>
              </w:rPr>
              <w:t>O que o grupo deverá definir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Acolhimento</w:t>
            </w:r>
          </w:p>
        </w:tc>
        <w:tc>
          <w:tcPr>
            <w:tcW w:type="dxa" w:w="764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Privacidade, escuta respeitosa e identificação das necessidades imediatas.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Encaminhamento</w:t>
            </w:r>
          </w:p>
        </w:tc>
        <w:tc>
          <w:tcPr>
            <w:tcW w:type="dxa" w:w="7648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Qual atendimento está sendo solicitado e quais informações são necessárias.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Referência</w:t>
            </w:r>
          </w:p>
        </w:tc>
        <w:tc>
          <w:tcPr>
            <w:tcW w:type="dxa" w:w="764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Qual serviço assumirá determinada dimensão do atendimento.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Contrarreferência</w:t>
            </w:r>
          </w:p>
        </w:tc>
        <w:tc>
          <w:tcPr>
            <w:tcW w:type="dxa" w:w="7648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Como ocorrerá o retorno das informações necessárias à continuidade.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Acompanhamento</w:t>
            </w:r>
          </w:p>
        </w:tc>
        <w:tc>
          <w:tcPr>
            <w:tcW w:type="dxa" w:w="764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Quem verificará acesso, mudanças na situação e necessidades ainda não atendidas.</w:t>
            </w:r>
          </w:p>
        </w:tc>
      </w:tr>
    </w:tbl>
    <w:p>
      <w:pPr>
        <w:keepLines/>
        <w:spacing w:after="0"/>
      </w:pPr>
    </w:p>
    <w:p>
      <w:pPr>
        <w:keepLines/>
      </w:pPr>
      <w:r>
        <w:rPr>
          <w:b w:val="0"/>
        </w:rPr>
        <w:t>Incluir obstáculos concretos: ausência de transporte, contato telefônico inseguro, indisponibilidade de vagas, demora no retorno e necessidade de atendimento regional.</w:t>
      </w:r>
    </w:p>
    <w:p>
      <w:pPr>
        <w:keepNext/>
        <w:keepLines/>
      </w:pPr>
      <w:r>
        <w:rPr>
          <w:b/>
        </w:rPr>
        <w:t>Orientação pedagógica</w:t>
      </w:r>
    </w:p>
    <w:p>
      <w:pPr>
        <w:keepLines/>
      </w:pPr>
      <w:r>
        <w:rPr>
          <w:b w:val="0"/>
        </w:rPr>
        <w:t>Um encaminhamento só permite avaliar a continuidade quando a equipe consegue saber se o acesso ocorreu e o que permanece pendente.</w:t>
      </w:r>
    </w:p>
    <w:p>
      <w:pPr>
        <w:pStyle w:val="Heading2"/>
        <w:keepLines/>
      </w:pPr>
      <w:r>
        <w:rPr>
          <w:b w:val="0"/>
        </w:rPr>
        <w:t>3.1 Acolher sem produzir um novo obstáculo</w:t>
      </w:r>
    </w:p>
    <w:p>
      <w:pPr>
        <w:keepLines/>
      </w:pPr>
      <w:r>
        <w:rPr>
          <w:b w:val="0"/>
        </w:rPr>
        <w:t>O acolhimento começa na forma de receber e comunicar. Privacidade, escuta respeitosa e linguagem compreensível ajudam a identificar o motivo da procura e as necessidades mais imediatas. A profissional ou o profissional deve explicar sua função e o que o serviço pode oferecer, evitando perguntas movidas por curiosidade ou julgamentos sobre a vida da mulher.</w:t>
      </w:r>
    </w:p>
    <w:p>
      <w:pPr>
        <w:keepLines/>
      </w:pPr>
      <w:r>
        <w:rPr>
          <w:b w:val="0"/>
        </w:rPr>
        <w:t>Uma pessoa pode procurar o serviço por uma necessidade aparentemente distante da violência, como dificuldade de obter documentos, sofrimento emocional ou insegurança de renda. A escuta deve permitir que ela expresse o que considera importante, sem exigir um relato completo para oferecer orientação. A identificação de necessidades urgentes orienta o acionamento das respostas competentes, enquanto outras dimensões podem ser acompanhadas de modo continuado.</w:t>
      </w:r>
    </w:p>
    <w:p>
      <w:pPr>
        <w:keepLines/>
      </w:pPr>
      <w:r>
        <w:rPr>
          <w:b w:val="0"/>
        </w:rPr>
        <w:t>Meninas e adolescentes têm necessidades próprias, mesmo quando chegam acompanhando a mãe. Sua presença não autoriza usar seu relato como prova contra o agressor nem pedir que repitam detalhes para cada equipe. A Lei nº 13.431/2017 diferencia a escuta especializada no âmbito da proteção e o depoimento especial perante autoridade policial ou judiciária. A articulação deve evitar repetição desnecessária e acionar o sistema de garantia de direitos conforme a situação.</w:t>
      </w:r>
    </w:p>
    <w:p>
      <w:pPr>
        <w:keepLines/>
      </w:pPr>
      <w:hyperlink r:id="rId30">
        <w:r>
          <w:rPr>
            <w:color w:val="5B1738"/>
            <w:u w:val="single"/>
          </w:rPr>
          <w:t>Lei nº 13.431/2017 — proteção de crianças e adolescentes vítimas ou testemunhas de violência</w:t>
        </w:r>
      </w:hyperlink>
      <w:r>
        <w:t>.</w:t>
      </w:r>
    </w:p>
    <w:p>
      <w:pPr>
        <w:pStyle w:val="Heading2"/>
        <w:keepLines/>
      </w:pPr>
      <w:r>
        <w:rPr>
          <w:b w:val="0"/>
        </w:rPr>
        <w:t>3.2 Referência e contrarreferência como compromisso verificável</w:t>
      </w:r>
    </w:p>
    <w:p>
      <w:pPr>
        <w:keepLines/>
      </w:pPr>
      <w:r>
        <w:rPr>
          <w:b w:val="0"/>
        </w:rPr>
        <w:t>A referência define o serviço responsável por determinada dimensão da atenção. Uma mulher pode ter, ao mesmo tempo, referência na saúde e no acompanhamento especializado, além de demandas no sistema de justiça. A coordenação do percurso não precisa eliminar essas referências: deve tornar compreensível quem faz o quê e como as equipes se comunicam.</w:t>
      </w:r>
    </w:p>
    <w:p>
      <w:pPr>
        <w:keepLines/>
      </w:pPr>
      <w:r>
        <w:rPr>
          <w:b w:val="0"/>
        </w:rPr>
        <w:t>O encaminhamento explicita a necessidade, a finalidade da solicitação e as providências já realizadas. A contrarreferência informa ao serviço que encaminhou os elementos necessários para dar continuidade: recebimento, atendimento realizado ou previsto, pendências e responsabilidades. Não implica envio integral de prontuários nem exposição da narrativa da mulher a toda a rede.</w:t>
      </w:r>
    </w:p>
    <w:p>
      <w:pPr>
        <w:keepLines/>
      </w:pPr>
      <w:r>
        <w:rPr>
          <w:b w:val="0"/>
        </w:rPr>
        <w:t>O retorno deve distinguir “solicitação recebida”, “atendimento agendado” e “atendimento realizado”. São situações diferentes. Se a equipe tratar o recebimento de um e-mail como prova de acesso, poderá deixar de perceber que a mulher não conseguiu chegar ao serviço. Da mesma forma, um atendimento pontual não demonstra que todas as necessidades foram resolvidas.</w:t>
      </w:r>
    </w:p>
    <w:p>
      <w:pPr>
        <w:pStyle w:val="Heading2"/>
        <w:keepLines/>
      </w:pPr>
      <w:r>
        <w:rPr>
          <w:b w:val="0"/>
        </w:rPr>
        <w:t>3.3 Comunicação segura e registro necessário</w:t>
      </w:r>
    </w:p>
    <w:p>
      <w:pPr>
        <w:keepLines/>
      </w:pPr>
      <w:r>
        <w:rPr>
          <w:b w:val="0"/>
        </w:rPr>
        <w:t>Antes de telefonar ou enviar uma mensagem, verificar com a mulher se o canal é seguro, em quais horários pode ser utilizado e que conteúdo pode aparecer. Telefone monitorado, aparelho compartilhado ou mensagens visíveis na tela podem expor a busca de ajuda. Não substituir essa verificação pela suposição de que todo número fornecido é um contato livre de risco.</w:t>
      </w:r>
    </w:p>
    <w:p>
      <w:pPr>
        <w:keepLines/>
      </w:pPr>
      <w:r>
        <w:rPr>
          <w:b w:val="0"/>
        </w:rPr>
        <w:t>O compartilhamento de informações exige finalidade, fundamento adequado e acesso restrito a quem precisa atuar. A LGPD prevê bases legais além do consentimento, incluindo hipóteses vinculadas a obrigações legais, políticas públicas e proteção da vida; dados sensíveis requerem o exame das condições próprias do art. 11. A rede não deve adotar nem a circulação indiscriminada nem a recusa automática de toda comunicação em nome do sigilo.</w:t>
      </w:r>
    </w:p>
    <w:p>
      <w:pPr>
        <w:keepLines/>
      </w:pPr>
      <w:hyperlink r:id="rId31">
        <w:r>
          <w:rPr>
            <w:color w:val="5B1738"/>
            <w:u w:val="single"/>
          </w:rPr>
          <w:t>LGPD — princípios, bases legais e tratamento de dados sensíveis</w:t>
        </w:r>
      </w:hyperlink>
      <w:r>
        <w:t>.</w:t>
      </w:r>
    </w:p>
    <w:p>
      <w:pPr>
        <w:keepLines/>
      </w:pPr>
      <w:r>
        <w:rPr>
          <w:b w:val="0"/>
        </w:rPr>
        <w:t>Na proposta de trabalho da oficina, cada comunicação deve responder: por que esta informação precisa circular, quem deve recebê-la e como será protegida? O registro deve distinguir o que a mulher relatou, o que a equipe observou e o que foi efetivamente realizado. Grupos amplos de mensagens e planilhas abertas não são meios adequados para circular casos identificáveis. O fluxo institucional deve definir canais autorizados, controle de acesso e responsabilidades de guarda.</w:t>
      </w:r>
    </w:p>
    <w:p>
      <w:pPr>
        <w:pStyle w:val="Heading2"/>
        <w:keepLines/>
      </w:pPr>
      <w:r>
        <w:rPr>
          <w:b w:val="0"/>
        </w:rPr>
        <w:t>3.4 Quando o acesso não acontece</w:t>
      </w:r>
    </w:p>
    <w:p>
      <w:pPr>
        <w:keepLines/>
      </w:pPr>
      <w:r>
        <w:rPr>
          <w:b w:val="0"/>
        </w:rPr>
        <w:t>Uma ausência ao atendimento não explica sua causa. Pode decorrer de transporte, cuidado de dependentes, ameaça, mudança da situação ou impossibilidade de comunicação segura. O serviço deve utilizar o contato previamente combinado, se houver condições, e reavaliar barreiras sem insistências que aumentem a exposição da mulher. A continuidade não pode ser confundida com vigilância sobre suas escolhas.</w:t>
      </w:r>
    </w:p>
    <w:p>
      <w:pPr>
        <w:keepLines/>
      </w:pPr>
      <w:r>
        <w:rPr>
          <w:b w:val="0"/>
        </w:rPr>
        <w:t>Se o destino não responde, a equipe registra a tentativa e aciona o ponto focal ou a gestão pelo caminho pactuado. Situações urgentes seguem o acionamento imediato pertinente; não devem aguardar o prazo administrativo de retorno. Se o serviço informa indisponibilidade, é necessário explicitar alternativa e responsabilidade provisória, conforme competências, em vez de devolver toda a procura à mulher.</w:t>
      </w:r>
    </w:p>
    <w:p>
      <w:pPr>
        <w:keepLines/>
      </w:pPr>
      <w:r>
        <w:rPr>
          <w:b/>
        </w:rPr>
        <w:t>Troca de experiências — dentro dos 40 minutos do bloco 3:</w:t>
      </w:r>
      <w:r>
        <w:t xml:space="preserve"> após 15 minutos de exposição, formar duplas de setores diferentes por 15 minutos. Cada pessoa descreve uma dificuldade recorrente de articulação sem identificar usuárias. A dupla transforma a dificuldade em um acordo possível sobre recebimento, retorno ou acompanhamento. Nos 10 minutos finais, a plenária distingue o que pode ser ajustado pelas equipes e o que depende da gestão.</w:t>
      </w:r>
    </w:p>
    <w:p>
      <w:pPr>
        <w:pStyle w:val="Heading1"/>
        <w:keepNext/>
        <w:keepLines/>
      </w:pPr>
      <w:r>
        <w:t>Bloco 4 — Fluxo integrado e governança da rede</w:t>
      </w:r>
    </w:p>
    <w:p>
      <w:pPr>
        <w:pStyle w:val="ListNumber"/>
        <w:keepLines/>
      </w:pPr>
      <w:r>
        <w:rPr>
          <w:b w:val="0"/>
        </w:rPr>
        <w:t>Acolhimento em diferentes portas de entrada.</w:t>
      </w:r>
    </w:p>
    <w:p>
      <w:pPr>
        <w:pStyle w:val="ListNumber"/>
        <w:keepLines/>
      </w:pPr>
      <w:r>
        <w:rPr>
          <w:b w:val="0"/>
        </w:rPr>
        <w:t>Identificação de necessidades urgentes e acionamento das respostas pertinentes.</w:t>
      </w:r>
    </w:p>
    <w:p>
      <w:pPr>
        <w:pStyle w:val="ListNumber"/>
        <w:keepLines/>
      </w:pPr>
      <w:r>
        <w:rPr>
          <w:b w:val="0"/>
        </w:rPr>
        <w:t>Explicação dos próximos passos à mulher.</w:t>
      </w:r>
    </w:p>
    <w:p>
      <w:pPr>
        <w:pStyle w:val="ListNumber"/>
        <w:keepLines/>
      </w:pPr>
      <w:r>
        <w:rPr>
          <w:b w:val="0"/>
        </w:rPr>
        <w:t>Articulação com serviços, conforme necessidades e competências.</w:t>
      </w:r>
    </w:p>
    <w:p>
      <w:pPr>
        <w:pStyle w:val="ListNumber"/>
        <w:keepLines/>
      </w:pPr>
      <w:r>
        <w:rPr>
          <w:b w:val="0"/>
        </w:rPr>
        <w:t>Definição de responsáveis pelo acompanhamento.</w:t>
      </w:r>
    </w:p>
    <w:p>
      <w:pPr>
        <w:pStyle w:val="ListNumber"/>
        <w:keepLines/>
      </w:pPr>
      <w:r>
        <w:rPr>
          <w:b w:val="0"/>
        </w:rPr>
        <w:t>Retorno entre serviços e reavaliação da situação.</w:t>
      </w:r>
    </w:p>
    <w:p>
      <w:pPr>
        <w:keepLines/>
      </w:pPr>
      <w:r>
        <w:rPr>
          <w:b w:val="0"/>
        </w:rPr>
        <w:t>Essas ações podem ocorrer simultaneamente. O desenho não deverá obrigar toda mulher a percorrer uma sequência fixa de instituições.</w:t>
      </w:r>
    </w:p>
    <w:p>
      <w:pPr>
        <w:keepLines/>
      </w:pPr>
      <w:r>
        <w:rPr>
          <w:b w:val="0"/>
        </w:rPr>
        <w:t>Trabalhar decisões de governança: pontos focais, canais institucionais, reuniões periódicas, tratamento de impasses, atualização do mapa e recursos necessários. No contexto do COMESP, incluir a articulação intermunicipal quando a resposta depender de serviço regional.</w:t>
      </w:r>
    </w:p>
    <w:p>
      <w:pPr>
        <w:pStyle w:val="Heading2"/>
        <w:keepLines/>
      </w:pPr>
      <w:r>
        <w:rPr>
          <w:b w:val="0"/>
        </w:rPr>
        <w:t>4.1 Como ler e construir um fluxo integrado</w:t>
      </w:r>
    </w:p>
    <w:p>
      <w:pPr>
        <w:keepLines/>
      </w:pPr>
      <w:r>
        <w:rPr>
          <w:b w:val="0"/>
        </w:rPr>
        <w:t>Um fluxograma deve explicitar decisões e responsabilidades, e não apenas desenhar uma sucessão de órgãos. O ponto de entrada pode ser uma unidade de saúde, um serviço socioassistencial, a escola ou outro equipamento. A partir dessa entrada, a equipe identifica necessidades e aciona as respostas competentes, mantendo atenção às condições de segurança.</w:t>
      </w:r>
    </w:p>
    <w:p>
      <w:pPr>
        <w:keepLines/>
      </w:pPr>
      <w:r>
        <w:rPr>
          <w:b w:val="0"/>
        </w:rPr>
        <w:t>A pergunta sobre urgência serve para organizar a resposta imediata. Não cria duas categorias fixas de mulheres nem permite presumir que a ausência de urgência aparente signifique ausência de risco. A situação pode mudar e exigir nova avaliação. As medidas de proteção, o cuidado em saúde e o suporte social podem ocorrer simultaneamente.</w:t>
      </w:r>
    </w:p>
    <w:p>
      <w:pPr>
        <w:pStyle w:val="Heading2"/>
        <w:keepLines/>
      </w:pPr>
      <w:r>
        <w:rPr>
          <w:b w:val="0"/>
        </w:rPr>
        <w:t>Fluxograma pedagógico de atendimento integrado</w:t>
      </w:r>
    </w:p>
    <w:p>
      <w:pPr>
        <w:keepLines/>
      </w:pPr>
      <w:r>
        <w:drawing>
          <wp:inline xmlns:a="http://schemas.openxmlformats.org/drawingml/2006/main" xmlns:pic="http://schemas.openxmlformats.org/drawingml/2006/picture">
            <wp:extent cx="6408000" cy="412125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low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408000" cy="41212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</w:pPr>
      <w:r>
        <w:rPr>
          <w:b/>
        </w:rPr>
        <w:t>Leitura do desenho:</w:t>
      </w:r>
      <w:r>
        <w:t xml:space="preserve"> qualquer porta de entrada acolhe e identifica necessidades. Havendo urgência, aciona a resposta imediata competente e articula os demais cuidados em paralelo. Nos dois percursos, é necessário definir responsáveis, viabilizar o acesso e verificar o que ocorreu. Uma nova ameaça ou barreira exige reavaliação. Este modelo orienta a oficina e depende de validação territorial para uso como protocolo.</w:t>
      </w:r>
    </w:p>
    <w:p>
      <w:pPr>
        <w:keepLines/>
      </w:pPr>
      <w:r>
        <w:rPr>
          <w:b w:val="0"/>
        </w:rPr>
        <w:t>Em emergência policial, acionar 190; em urgência de saúde, 192, conforme a situação. O Ligue 180 oferece orientação sobre direitos e serviços e recebe denúncias, com funcionamento gratuito e contínuo; não substitui o acionamento policial emergencial. A alternativa local fora do expediente deve constar do fluxo validado.</w:t>
      </w:r>
    </w:p>
    <w:p>
      <w:pPr>
        <w:keepLines/>
      </w:pPr>
      <w:hyperlink r:id="rId33">
        <w:r>
          <w:rPr>
            <w:color w:val="5B1738"/>
            <w:u w:val="single"/>
          </w:rPr>
          <w:t>Ligue 180 — finalidade e funcionamento</w:t>
        </w:r>
      </w:hyperlink>
      <w:r>
        <w:t xml:space="preserve"> · </w:t>
      </w:r>
      <w:hyperlink r:id="rId34">
        <w:r>
          <w:rPr>
            <w:color w:val="5B1738"/>
            <w:u w:val="single"/>
          </w:rPr>
          <w:t>SESA — acesso à atenção e urgência em saúde</w:t>
        </w:r>
      </w:hyperlink>
      <w:r>
        <w:t>.</w:t>
      </w:r>
    </w:p>
    <w:p>
      <w:pPr>
        <w:pStyle w:val="Heading2"/>
        <w:keepLines/>
      </w:pPr>
      <w:r>
        <w:rPr>
          <w:b w:val="0"/>
        </w:rPr>
        <w:t>4.2 Governança e articulação intermunicipal</w:t>
      </w:r>
    </w:p>
    <w:p>
      <w:pPr>
        <w:keepLines/>
      </w:pPr>
      <w:r>
        <w:rPr>
          <w:b w:val="0"/>
        </w:rPr>
        <w:t>A governança sustenta o fluxo depois da capacitação. Requer coordenação reconhecida, pontos focais e substitutos, critérios para discutir impasses, atualização dos contatos e participação das instituições com capacidade de decidir. Reuniões sem responsáveis por encaminhamentos podem produzir diagnósticos repetidos e poucas mudanças no acesso.</w:t>
      </w:r>
    </w:p>
    <w:p>
      <w:pPr>
        <w:keepLines/>
      </w:pPr>
      <w:r>
        <w:rPr>
          <w:b w:val="0"/>
        </w:rPr>
        <w:t>Uma proposta de organização distingue decisões operacionais, que podem ser assumidas pelas equipes dentro de suas competências, e decisões de gestão, como pactuação de transporte, recursos, cobertura regional e ampliação de oferta. O registro das pendências deve tornar essa diferença visível. A indicação de um órgão na oficina não equivale à aceitação de responsabilidade por ele.</w:t>
      </w:r>
    </w:p>
    <w:p>
      <w:pPr>
        <w:keepLines/>
      </w:pPr>
      <w:r>
        <w:rPr>
          <w:b w:val="0"/>
        </w:rPr>
        <w:t>Nos deslocamentos intermunicipais, combinar origem, destino, finalidade, modo de transporte, acompanhamento quando necessário, confirmação do acesso e continuidade no retorno. A mulher não deve se tornar a única portadora das informações entre equipes. O atendimento regional também não afasta as necessidades de suporte no município em que vive.</w:t>
      </w:r>
    </w:p>
    <w:p>
      <w:pPr>
        <w:keepLines/>
      </w:pPr>
      <w:r>
        <w:rPr>
          <w:b w:val="0"/>
        </w:rPr>
        <w:t>O enfrentamento ao feminicídio depende dessas conexões concretas. Ao retomar os pactos estudados no Módulo III, perguntar como compromissos de proteção se traduzem em resposta a ameaças, acesso às medidas e continuidade. O fluxo não substitui a avaliação de risco nem os protocolos oficiais; organiza quem aciona, quem responde e como se acompanha a situação.</w:t>
      </w:r>
    </w:p>
    <w:p>
      <w:pPr>
        <w:pStyle w:val="Heading2"/>
        <w:keepLines/>
      </w:pPr>
      <w:r>
        <w:rPr>
          <w:b w:val="0"/>
        </w:rPr>
        <w:t>4.3 Monitorar acesso e qualidade</w:t>
      </w:r>
    </w:p>
    <w:p>
      <w:pPr>
        <w:keepLines/>
      </w:pPr>
      <w:r>
        <w:rPr>
          <w:b w:val="0"/>
        </w:rPr>
        <w:t>O monitoramento deve examinar se a rede produziu acesso e continuidade, além do volume de atividades. Indicadores precisam de definição, período, fonte e responsável, para que números de instituições diferentes possam ser interpretados. Não há meta universal estabelecida nesta apostila: os parâmetros devem ser pactuados conforme necessidades, deveres legais e capacidade de resposta.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3969"/>
        <w:gridCol w:w="3679"/>
      </w:tblGrid>
      <w:tr>
        <w:trPr>
          <w:cantSplit/>
          <w:tblHeader/>
        </w:trPr>
        <w:tc>
          <w:tcPr>
            <w:tcW w:type="dxa" w:w="2551"/>
            <w:vAlign w:val="center"/>
            <w:shd w:fill="5B1738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/>
                <w:color w:val="FFFFFF"/>
                <w:sz w:val="18"/>
              </w:rPr>
              <w:t>Indicador proposto</w:t>
            </w:r>
          </w:p>
        </w:tc>
        <w:tc>
          <w:tcPr>
            <w:tcW w:type="dxa" w:w="3969"/>
            <w:vAlign w:val="center"/>
            <w:shd w:fill="5B1738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/>
                <w:color w:val="FFFFFF"/>
                <w:sz w:val="18"/>
              </w:rPr>
              <w:t>Como calcular ou observar</w:t>
            </w:r>
          </w:p>
        </w:tc>
        <w:tc>
          <w:tcPr>
            <w:tcW w:type="dxa" w:w="3679"/>
            <w:vAlign w:val="center"/>
            <w:shd w:fill="5B1738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/>
                <w:color w:val="FFFFFF"/>
                <w:sz w:val="18"/>
              </w:rPr>
              <w:t>Cuidado de interpretação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Recebimento confirmado</w:t>
            </w:r>
          </w:p>
        </w:tc>
        <w:tc>
          <w:tcPr>
            <w:tcW w:type="dxa" w:w="3969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Encaminhamentos com confirmação ÷ encaminhamentos que exigiam retorno no período × 100.</w:t>
            </w:r>
          </w:p>
        </w:tc>
        <w:tc>
          <w:tcPr>
            <w:tcW w:type="dxa" w:w="3679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Confirmação não equivale a atendimento realizado.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Tempo até o atendimento</w:t>
            </w:r>
          </w:p>
        </w:tc>
        <w:tc>
          <w:tcPr>
            <w:tcW w:type="dxa" w:w="3969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Intervalo entre solicitação e primeiro atendimento, separado por tipo de demanda.</w:t>
            </w:r>
          </w:p>
        </w:tc>
        <w:tc>
          <w:tcPr>
            <w:tcW w:type="dxa" w:w="3679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Informar também pendências; não misturar urgência com acompanhamento programado.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Responsável definido</w:t>
            </w:r>
          </w:p>
        </w:tc>
        <w:tc>
          <w:tcPr>
            <w:tcW w:type="dxa" w:w="3969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Situações acompanhadas com referência responsável registrada ÷ situações acompanhadas × 100.</w:t>
            </w:r>
          </w:p>
        </w:tc>
        <w:tc>
          <w:tcPr>
            <w:tcW w:type="dxa" w:w="3679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Nome registrado não demonstra atuação efetiva.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Barreiras resolvidas</w:t>
            </w:r>
          </w:p>
        </w:tc>
        <w:tc>
          <w:tcPr>
            <w:tcW w:type="dxa" w:w="3969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Barreiras com solução verificada ÷ barreiras identificadas e acompanhadas no período × 100.</w:t>
            </w:r>
          </w:p>
        </w:tc>
        <w:tc>
          <w:tcPr>
            <w:tcW w:type="dxa" w:w="3679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Definir o que conta como barreira e como solução.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Percepção das mulheres</w:t>
            </w:r>
          </w:p>
        </w:tc>
        <w:tc>
          <w:tcPr>
            <w:tcW w:type="dxa" w:w="3969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Escuta voluntária sobre respeito, compreensão e continuidade, por meio seguro.</w:t>
            </w:r>
          </w:p>
        </w:tc>
        <w:tc>
          <w:tcPr>
            <w:tcW w:type="dxa" w:w="3679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Não vincular avaliação positiva à permanência no serviço nem expor a participante.</w:t>
            </w:r>
          </w:p>
        </w:tc>
      </w:tr>
    </w:tbl>
    <w:p>
      <w:pPr>
        <w:keepLines/>
        <w:spacing w:after="0"/>
      </w:pPr>
    </w:p>
    <w:p>
      <w:pPr>
        <w:keepLines/>
      </w:pPr>
      <w:r>
        <w:rPr>
          <w:b w:val="0"/>
        </w:rPr>
        <w:t>Recortes por território e características das usuárias podem ajudar a identificar desigualdades, desde que a coleta tenha finalidade legítima e a divulgação proteja a identidade, especialmente em grupos pequenos. Os resultados devem alimentar a revisão do fluxo e o planejamento, sem gerar competição entre serviços ou culpabilização de equipes por problemas estruturais.</w:t>
      </w:r>
    </w:p>
    <w:p>
      <w:pPr>
        <w:pStyle w:val="Heading2"/>
        <w:keepLines/>
      </w:pPr>
      <w:r>
        <w:rPr>
          <w:b w:val="0"/>
        </w:rPr>
        <w:t>Roteiro de facilitação · 4 horas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1134"/>
        <w:gridCol w:w="6684"/>
      </w:tblGrid>
      <w:tr>
        <w:trPr>
          <w:cantSplit/>
          <w:tblHeader/>
        </w:trPr>
        <w:tc>
          <w:tcPr>
            <w:tcW w:type="dxa" w:w="2381"/>
            <w:vAlign w:val="center"/>
            <w:shd w:fill="5B1738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/>
                <w:color w:val="FFFFFF"/>
                <w:sz w:val="18"/>
              </w:rPr>
              <w:t>Etapa</w:t>
            </w:r>
          </w:p>
        </w:tc>
        <w:tc>
          <w:tcPr>
            <w:tcW w:type="dxa" w:w="1134"/>
            <w:vAlign w:val="center"/>
            <w:shd w:fill="5B1738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/>
                <w:color w:val="FFFFFF"/>
                <w:sz w:val="18"/>
              </w:rPr>
              <w:t>Tempo</w:t>
            </w:r>
          </w:p>
        </w:tc>
        <w:tc>
          <w:tcPr>
            <w:tcW w:type="dxa" w:w="6684"/>
            <w:vAlign w:val="center"/>
            <w:shd w:fill="5B1738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/>
                <w:color w:val="FFFFFF"/>
                <w:sz w:val="18"/>
              </w:rPr>
              <w:t>Desenvolvimento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Abertura</w:t>
            </w:r>
          </w:p>
        </w:tc>
        <w:tc>
          <w:tcPr>
            <w:tcW w:type="dxa" w:w="113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15 min</w:t>
            </w:r>
          </w:p>
        </w:tc>
        <w:tc>
          <w:tcPr>
            <w:tcW w:type="dxa" w:w="668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Retomada da matriz produzida no módulo III.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Bloco 1</w:t>
            </w:r>
          </w:p>
        </w:tc>
        <w:tc>
          <w:tcPr>
            <w:tcW w:type="dxa" w:w="1134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30 min</w:t>
            </w:r>
          </w:p>
        </w:tc>
        <w:tc>
          <w:tcPr>
            <w:tcW w:type="dxa" w:w="6684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Rede de enfrentamento e rede de atendimento.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Bloco 2</w:t>
            </w:r>
          </w:p>
        </w:tc>
        <w:tc>
          <w:tcPr>
            <w:tcW w:type="dxa" w:w="113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45 min</w:t>
            </w:r>
          </w:p>
        </w:tc>
        <w:tc>
          <w:tcPr>
            <w:tcW w:type="dxa" w:w="668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Mapeamento funcional e barreiras de acesso.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Bloco 3</w:t>
            </w:r>
          </w:p>
        </w:tc>
        <w:tc>
          <w:tcPr>
            <w:tcW w:type="dxa" w:w="1134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40 min</w:t>
            </w:r>
          </w:p>
        </w:tc>
        <w:tc>
          <w:tcPr>
            <w:tcW w:type="dxa" w:w="6684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Referência, contrarreferência e continuidade.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Bloco 4</w:t>
            </w:r>
          </w:p>
        </w:tc>
        <w:tc>
          <w:tcPr>
            <w:tcW w:type="dxa" w:w="113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30 min</w:t>
            </w:r>
          </w:p>
        </w:tc>
        <w:tc>
          <w:tcPr>
            <w:tcW w:type="dxa" w:w="668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Fluxos e governança.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Oficina integradora</w:t>
            </w:r>
          </w:p>
        </w:tc>
        <w:tc>
          <w:tcPr>
            <w:tcW w:type="dxa" w:w="1134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65 min</w:t>
            </w:r>
          </w:p>
        </w:tc>
        <w:tc>
          <w:tcPr>
            <w:tcW w:type="dxa" w:w="6684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Construção e teste do fluxo territorial.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Avaliação e compromissos</w:t>
            </w:r>
          </w:p>
        </w:tc>
        <w:tc>
          <w:tcPr>
            <w:tcW w:type="dxa" w:w="113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15 min</w:t>
            </w:r>
          </w:p>
        </w:tc>
        <w:tc>
          <w:tcPr>
            <w:tcW w:type="dxa" w:w="668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Ajustes, responsáveis e pendências.</w:t>
            </w:r>
          </w:p>
        </w:tc>
      </w:tr>
    </w:tbl>
    <w:p>
      <w:pPr>
        <w:keepLines/>
        <w:spacing w:after="0"/>
      </w:pPr>
    </w:p>
    <w:p>
      <w:pPr>
        <w:keepLines/>
      </w:pPr>
      <w:r>
        <w:rPr>
          <w:b w:val="0"/>
        </w:rPr>
        <w:t>Total: 240 minutos de atividades. Prever intervalos adicionalmente na organização do encontro.</w:t>
      </w:r>
    </w:p>
    <w:p>
      <w:pPr>
        <w:keepNext/>
        <w:keepLines/>
      </w:pPr>
      <w:r>
        <w:rPr>
          <w:b/>
          <w:color w:val="5B1738"/>
          <w:sz w:val="18"/>
        </w:rPr>
        <w:t>OFICINA INTEGRADORA · 65 MIN</w:t>
      </w:r>
    </w:p>
    <w:p>
      <w:pPr>
        <w:pStyle w:val="Heading2"/>
        <w:keepLines/>
      </w:pPr>
      <w:r>
        <w:rPr>
          <w:b w:val="0"/>
        </w:rPr>
        <w:t>Uma situação, responsabilidades compartilhadas</w:t>
      </w:r>
    </w:p>
    <w:p>
      <w:pPr>
        <w:keepLines/>
      </w:pPr>
      <w:r>
        <w:rPr>
          <w:b/>
        </w:rPr>
        <w:t>Caso fictício retomado do módulo III.</w:t>
      </w:r>
      <w:r>
        <w:t xml:space="preserve"> </w:t>
      </w:r>
      <w:r>
        <w:rPr>
          <w:b w:val="0"/>
        </w:rPr>
        <w:t xml:space="preserve"> </w:t>
      </w:r>
      <w:r>
        <w:t>Uma mulher procura um serviço municipal relatando ameaças, retenção de documentos e vigilância pelo ex-companheiro. Está com a filha adolescente, depende de transporte intermunicipal e teme que ele descubra que buscou ajuda.</w:t>
      </w:r>
    </w:p>
    <w:p>
      <w:pPr>
        <w:keepLines/>
      </w:pPr>
      <w:r>
        <w:rPr>
          <w:b/>
        </w:rPr>
        <w:t>Novas condições:</w:t>
      </w:r>
      <w:r>
        <w:t xml:space="preserve"> o serviço especializado fica em outro município; a mulher não dispõe de transporte; seu telefone é monitorado; a filha precisa de proteção própria.</w:t>
      </w:r>
    </w:p>
    <w:p>
      <w:pPr>
        <w:keepLines/>
      </w:pPr>
      <w:r>
        <w:rPr>
          <w:b w:val="0"/>
        </w:rPr>
        <w:t>Grupos intersetoriais deverão produzir um fluxo e responder:</w:t>
      </w:r>
    </w:p>
    <w:p>
      <w:pPr>
        <w:pStyle w:val="ListBullet"/>
        <w:keepLines/>
      </w:pPr>
      <w:r>
        <w:rPr>
          <w:b w:val="0"/>
        </w:rPr>
        <w:t>Quem mantém o contato com a mulher e por qual meio seguro?</w:t>
      </w:r>
    </w:p>
    <w:p>
      <w:pPr>
        <w:pStyle w:val="ListBullet"/>
        <w:keepLines/>
      </w:pPr>
      <w:r>
        <w:rPr>
          <w:b w:val="0"/>
        </w:rPr>
        <w:t>Quais respostas precisam ocorrer imediatamente?</w:t>
      </w:r>
    </w:p>
    <w:p>
      <w:pPr>
        <w:pStyle w:val="ListBullet"/>
        <w:keepLines/>
      </w:pPr>
      <w:r>
        <w:rPr>
          <w:b w:val="0"/>
        </w:rPr>
        <w:t>Como será viabilizado o deslocamento?</w:t>
      </w:r>
    </w:p>
    <w:p>
      <w:pPr>
        <w:pStyle w:val="ListBullet"/>
        <w:keepLines/>
      </w:pPr>
      <w:r>
        <w:rPr>
          <w:b w:val="0"/>
        </w:rPr>
        <w:t>Quem confirma o recebimento pelo serviço de referência?</w:t>
      </w:r>
    </w:p>
    <w:p>
      <w:pPr>
        <w:pStyle w:val="ListBullet"/>
        <w:keepLines/>
      </w:pPr>
      <w:r>
        <w:rPr>
          <w:b w:val="0"/>
        </w:rPr>
        <w:t>O que acontece se o serviço não responder?</w:t>
      </w:r>
    </w:p>
    <w:p>
      <w:pPr>
        <w:pStyle w:val="ListBullet"/>
        <w:keepLines/>
      </w:pPr>
      <w:r>
        <w:rPr>
          <w:b w:val="0"/>
        </w:rPr>
        <w:t>Como as necessidades da adolescente serão atendidas?</w:t>
      </w:r>
    </w:p>
    <w:p>
      <w:pPr>
        <w:pStyle w:val="ListBullet"/>
        <w:keepLines/>
      </w:pPr>
      <w:r>
        <w:rPr>
          <w:b w:val="0"/>
        </w:rPr>
        <w:t>Quais informações precisam circular e quais devem permanecer restritas?</w:t>
      </w:r>
    </w:p>
    <w:p>
      <w:pPr>
        <w:keepLines/>
      </w:pPr>
      <w:r>
        <w:rPr>
          <w:b/>
        </w:rPr>
        <w:t>Teste em plenária:</w:t>
      </w:r>
      <w:r>
        <w:t xml:space="preserve"> outro grupo apresenta uma intercorrência — serviço fechado, ausência de vaga ou impossibilidade de contato seguro — e verifica se o fluxo oferece uma resposta.</w:t>
      </w:r>
    </w:p>
    <w:p>
      <w:pPr>
        <w:keepLines/>
        <w:shd w:fill="F7F0E7"/>
      </w:pPr>
      <w:r>
        <w:rPr>
          <w:b/>
        </w:rPr>
        <w:t>Produtos:</w:t>
      </w:r>
      <w:r>
        <w:t xml:space="preserve"> mapa funcional da rede, fluxo preliminar de atendimento e quadro de pendências para pactuação institucional. Identificar o resultado como proposta técnica a validar antes de tratá-lo como protocolo oficial.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2154"/>
        <w:gridCol w:w="2154"/>
        <w:gridCol w:w="2041"/>
        <w:gridCol w:w="2035"/>
      </w:tblGrid>
      <w:tr>
        <w:trPr>
          <w:cantSplit/>
          <w:tblHeader/>
        </w:trPr>
        <w:tc>
          <w:tcPr>
            <w:tcW w:type="dxa" w:w="1814"/>
            <w:vAlign w:val="center"/>
            <w:shd w:fill="5B1738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/>
                <w:color w:val="FFFFFF"/>
                <w:sz w:val="18"/>
              </w:rPr>
              <w:t>Pendência identificada</w:t>
            </w:r>
          </w:p>
        </w:tc>
        <w:tc>
          <w:tcPr>
            <w:tcW w:type="dxa" w:w="2154"/>
            <w:vAlign w:val="center"/>
            <w:shd w:fill="5B1738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/>
                <w:color w:val="FFFFFF"/>
                <w:sz w:val="18"/>
              </w:rPr>
              <w:t>Ajuste necessário</w:t>
            </w:r>
          </w:p>
        </w:tc>
        <w:tc>
          <w:tcPr>
            <w:tcW w:type="dxa" w:w="2154"/>
            <w:vAlign w:val="center"/>
            <w:shd w:fill="5B1738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/>
                <w:color w:val="FFFFFF"/>
                <w:sz w:val="18"/>
              </w:rPr>
              <w:t>Responsável a pactuar</w:t>
            </w:r>
          </w:p>
        </w:tc>
        <w:tc>
          <w:tcPr>
            <w:tcW w:type="dxa" w:w="2041"/>
            <w:vAlign w:val="center"/>
            <w:shd w:fill="5B1738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/>
                <w:color w:val="FFFFFF"/>
                <w:sz w:val="18"/>
              </w:rPr>
              <w:t>Prazo a pactuar</w:t>
            </w:r>
          </w:p>
        </w:tc>
        <w:tc>
          <w:tcPr>
            <w:tcW w:type="dxa" w:w="2035"/>
            <w:vAlign w:val="center"/>
            <w:shd w:fill="5B1738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/>
                <w:color w:val="FFFFFF"/>
                <w:sz w:val="18"/>
              </w:rPr>
              <w:t>Como verificar</w:t>
            </w:r>
          </w:p>
        </w:tc>
      </w:tr>
      <w:tr>
        <w:trPr>
          <w:cantSplit/>
        </w:trPr>
        <w:tc>
          <w:tcPr>
            <w:tcW w:type="dxa" w:w="181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Registrar o obstáculo</w:t>
            </w:r>
          </w:p>
        </w:tc>
        <w:tc>
          <w:tcPr>
            <w:tcW w:type="dxa" w:w="215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Descrever a mudança</w:t>
            </w:r>
          </w:p>
        </w:tc>
        <w:tc>
          <w:tcPr>
            <w:tcW w:type="dxa" w:w="215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Indicar instituição</w:t>
            </w:r>
          </w:p>
        </w:tc>
        <w:tc>
          <w:tcPr>
            <w:tcW w:type="dxa" w:w="2041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Definir com a rede</w:t>
            </w:r>
          </w:p>
        </w:tc>
        <w:tc>
          <w:tcPr>
            <w:tcW w:type="dxa" w:w="2035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Evidência de resolução</w:t>
            </w:r>
          </w:p>
        </w:tc>
      </w:tr>
    </w:tbl>
    <w:p>
      <w:pPr>
        <w:keepLines/>
        <w:spacing w:after="0"/>
      </w:pPr>
    </w:p>
    <w:p>
      <w:pPr>
        <w:keepLines/>
      </w:pPr>
      <w:r>
        <w:rPr>
          <w:b/>
        </w:rPr>
        <w:t>Indicadores para pactuação:</w:t>
      </w:r>
      <w:r>
        <w:t xml:space="preserve"> encaminhamentos com recebimento confirmado; tempo até o atendimento; situações com responsável definido; barreiras de acesso resolvidas; percepção das mulheres sobre respeito, compreensão das orientações e continuidade.</w:t>
      </w:r>
    </w:p>
    <w:p>
      <w:pPr>
        <w:pStyle w:val="Heading2"/>
        <w:keepLines/>
      </w:pPr>
      <w:r>
        <w:rPr>
          <w:b w:val="0"/>
        </w:rPr>
        <w:t>Roteiro detalhado da oficina de 65 minutos</w:t>
      </w:r>
    </w:p>
    <w:p>
      <w:pPr>
        <w:keepLines/>
      </w:pPr>
      <w:r>
        <w:rPr>
          <w:b/>
        </w:rPr>
        <w:t>Preparação:</w:t>
      </w:r>
      <w:r>
        <w:t xml:space="preserve"> formar grupos com participantes de setores diferentes, preferencialmente reunindo quem compartilha um território ou referência regional. Disponibilizar a matriz do Módulo III, o mapa funcional, folhas para desenhar o fluxo e o quadro de pendências. Usar exclusivamente o caso fictício para o exercício.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1134"/>
        <w:gridCol w:w="6684"/>
      </w:tblGrid>
      <w:tr>
        <w:trPr>
          <w:cantSplit/>
          <w:tblHeader/>
        </w:trPr>
        <w:tc>
          <w:tcPr>
            <w:tcW w:type="dxa" w:w="2381"/>
            <w:vAlign w:val="center"/>
            <w:shd w:fill="5B1738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/>
                <w:color w:val="FFFFFF"/>
                <w:sz w:val="18"/>
              </w:rPr>
              <w:t>Momento</w:t>
            </w:r>
          </w:p>
        </w:tc>
        <w:tc>
          <w:tcPr>
            <w:tcW w:type="dxa" w:w="1134"/>
            <w:vAlign w:val="center"/>
            <w:shd w:fill="5B1738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/>
                <w:color w:val="FFFFFF"/>
                <w:sz w:val="18"/>
              </w:rPr>
              <w:t>Tempo</w:t>
            </w:r>
          </w:p>
        </w:tc>
        <w:tc>
          <w:tcPr>
            <w:tcW w:type="dxa" w:w="6684"/>
            <w:vAlign w:val="center"/>
            <w:shd w:fill="5B1738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/>
                <w:color w:val="FFFFFF"/>
                <w:sz w:val="18"/>
              </w:rPr>
              <w:t>Tarefa e resultado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Leitura e necessidades</w:t>
            </w:r>
          </w:p>
        </w:tc>
        <w:tc>
          <w:tcPr>
            <w:tcW w:type="dxa" w:w="113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10 min</w:t>
            </w:r>
          </w:p>
        </w:tc>
        <w:tc>
          <w:tcPr>
            <w:tcW w:type="dxa" w:w="668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Identificar proteção imediata, comunicação segura, documentos, transporte e necessidades próprias da adolescente.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Construção do fluxo</w:t>
            </w:r>
          </w:p>
        </w:tc>
        <w:tc>
          <w:tcPr>
            <w:tcW w:type="dxa" w:w="1134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20 min</w:t>
            </w:r>
          </w:p>
        </w:tc>
        <w:tc>
          <w:tcPr>
            <w:tcW w:type="dxa" w:w="6684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Definir ações simultâneas, serviços, responsáveis, acesso e retorno. Distinguir referência confirmada de informação pendente.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Teste cruzado</w:t>
            </w:r>
          </w:p>
        </w:tc>
        <w:tc>
          <w:tcPr>
            <w:tcW w:type="dxa" w:w="113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15 min</w:t>
            </w:r>
          </w:p>
        </w:tc>
        <w:tc>
          <w:tcPr>
            <w:tcW w:type="dxa" w:w="668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Outro grupo introduz uma intercorrência e verifica se há alternativa, responsável e continuidade.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Revisão e pendências</w:t>
            </w:r>
          </w:p>
        </w:tc>
        <w:tc>
          <w:tcPr>
            <w:tcW w:type="dxa" w:w="1134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10 min</w:t>
            </w:r>
          </w:p>
        </w:tc>
        <w:tc>
          <w:tcPr>
            <w:tcW w:type="dxa" w:w="6684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Ajustar o desenho e registrar o que depende de pacto entre equipes ou de decisão de gestão.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Socialização</w:t>
            </w:r>
          </w:p>
        </w:tc>
        <w:tc>
          <w:tcPr>
            <w:tcW w:type="dxa" w:w="113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10 min</w:t>
            </w:r>
          </w:p>
        </w:tc>
        <w:tc>
          <w:tcPr>
            <w:tcW w:type="dxa" w:w="668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Apresentar uma solução de acesso e uma pendência prioritária, com justificativa.</w:t>
            </w:r>
          </w:p>
        </w:tc>
      </w:tr>
    </w:tbl>
    <w:p>
      <w:pPr>
        <w:keepLines/>
        <w:spacing w:after="0"/>
      </w:pPr>
    </w:p>
    <w:p>
      <w:pPr>
        <w:pStyle w:val="Heading2"/>
        <w:keepLines/>
      </w:pPr>
      <w:r>
        <w:rPr>
          <w:b w:val="0"/>
        </w:rPr>
        <w:t>Chaves para a devolutiva da facilitadora</w:t>
      </w:r>
    </w:p>
    <w:p>
      <w:pPr>
        <w:keepLines/>
      </w:pPr>
      <w:r>
        <w:rPr>
          <w:b w:val="0"/>
        </w:rPr>
        <w:t>No caso fictício, a mulher teme exposição e tem o telefone monitorado. O grupo deve prever a construção de um meio seguro de contato, sem enviar automaticamente mensagens com identificação do serviço ou conteúdo da violência. As ameaças exigem atenção à situação atual e acionamento competente; a retenção dos documentos demanda resposta própria e não pode se transformar em justificativa para negar acolhimento.</w:t>
      </w:r>
    </w:p>
    <w:p>
      <w:pPr>
        <w:keepLines/>
      </w:pPr>
      <w:r>
        <w:rPr>
          <w:b w:val="0"/>
        </w:rPr>
        <w:t>A adolescente não deve aparecer apenas como acompanhante. O fluxo precisa identificar suas necessidades de cuidado e proteção, sem presumir fatos não narrados nem atribuir a ela a responsabilidade por transmitir mensagens ou proteger a mãe. A condição de dependência de transporte precisa gerar uma providência de acesso a pactuar com a gestão.</w:t>
      </w:r>
    </w:p>
    <w:p>
      <w:pPr>
        <w:keepLines/>
      </w:pPr>
      <w:r>
        <w:rPr>
          <w:b w:val="0"/>
        </w:rPr>
        <w:t>Não existe uma sequência única esperada de instituições. A qualidade do trabalho está na coerência entre necessidade, competência, acesso e continuidade. Um grupo pode identificar que uma resposta necessária ainda não está organizada: isso deve aparecer como pendência, com caminho de resolução proposto, e não como um serviço ficticiamente disponível.</w:t>
      </w:r>
    </w:p>
    <w:p>
      <w:pPr>
        <w:pStyle w:val="Heading2"/>
        <w:keepLines/>
      </w:pPr>
      <w:r>
        <w:rPr>
          <w:b w:val="0"/>
        </w:rPr>
        <w:t>Intercorrências para testar o fluxo</w:t>
      </w:r>
    </w:p>
    <w:p>
      <w:pPr>
        <w:keepLines/>
      </w:pPr>
      <w:r>
        <w:rPr>
          <w:b/>
        </w:rPr>
        <w:t>Serviço fechado:</w:t>
      </w:r>
      <w:r>
        <w:t xml:space="preserve"> a referência funciona apenas no dia seguinte. Perguntar qual resposta atua agora, quem mantém o acompanhamento e como a urgência altera o percurso. </w:t>
      </w:r>
      <w:r>
        <w:rPr>
          <w:b/>
        </w:rPr>
        <w:t>Ausência de vaga:</w:t>
      </w:r>
      <w:r>
        <w:t xml:space="preserve"> pedir que o grupo identifique quem verifica alternativas e como será sustentada a proteção enquanto a solução é articulada. </w:t>
      </w:r>
      <w:r>
        <w:rPr>
          <w:b/>
        </w:rPr>
        <w:t>Contato inseguro:</w:t>
      </w:r>
      <w:r>
        <w:t xml:space="preserve"> testar se o desenho depende exclusivamente de telefonar para a mulher e como poderá ser revisto com segurança.</w:t>
      </w:r>
    </w:p>
    <w:p>
      <w:pPr>
        <w:keepLines/>
      </w:pPr>
      <w:r>
        <w:rPr>
          <w:b/>
        </w:rPr>
        <w:t>Critérios de avaliação:</w:t>
      </w:r>
      <w:r>
        <w:t xml:space="preserve"> necessidades da mulher e da adolescente reconhecidas; respostas imediatas diferenciadas das programadas; competências respeitadas; transporte e comunicação considerados; retorno previsto; alternativa para falha de acesso; informação protegida; pendências explicitadas. Na avaliação final de 15 minutos, cada grupo apresenta um ajuste realizável e uma decisão que precisa ser levada à gestão.</w:t>
      </w:r>
    </w:p>
    <w:p>
      <w:pPr>
        <w:keepNext/>
        <w:keepLines/>
      </w:pPr>
      <w:r>
        <w:rPr>
          <w:b/>
        </w:rPr>
        <w:t>Pacto de cuidado · módulos III e IV</w:t>
      </w:r>
    </w:p>
    <w:p>
      <w:pPr>
        <w:keepLines/>
      </w:pPr>
      <w:r>
        <w:rPr>
          <w:b w:val="0"/>
        </w:rPr>
        <w:t>Participação sem relatos pessoais obrigatórios; casos fictícios ou devidamente desidentificados; discussão centrada nas responsabilidades institucionais. Situações sensíveis devem receber acolhimento reservado, conforme as orientações de facilitação.</w:t>
      </w:r>
    </w:p>
    <w:p>
      <w:pPr>
        <w:keepLines/>
      </w:pPr>
      <w:hyperlink r:id="rId35">
        <w:r>
          <w:rPr>
            <w:color w:val="5B1738"/>
            <w:u w:val="single"/>
          </w:rPr>
          <w:t>Consultar o protocolo de facilitação →</w:t>
        </w:r>
      </w:hyperlink>
    </w:p>
    <w:p>
      <w:pPr>
        <w:keepLines/>
      </w:pPr>
      <w:hyperlink r:id="rId13">
        <w:r>
          <w:rPr>
            <w:color w:val="5B1738"/>
            <w:u w:val="single"/>
          </w:rPr>
          <w:t>Retomar legislação</w:t>
        </w:r>
      </w:hyperlink>
      <w:r>
        <w:t xml:space="preserve">   |   </w:t>
      </w:r>
      <w:hyperlink r:id="rId36">
        <w:r>
          <w:rPr>
            <w:color w:val="5B1738"/>
            <w:u w:val="single"/>
          </w:rPr>
          <w:t>Consultar a base territorial</w:t>
        </w:r>
      </w:hyperlink>
      <w:r>
        <w:t xml:space="preserve">   |   </w:t>
      </w:r>
      <w:hyperlink r:id="rId37">
        <w:r>
          <w:rPr>
            <w:color w:val="5B1738"/>
            <w:u w:val="single"/>
          </w:rPr>
          <w:t>Voltar ao início ↑</w:t>
        </w:r>
      </w:hyperlink>
    </w:p>
    <w:p>
      <w:pPr>
        <w:pStyle w:val="Heading2"/>
        <w:keepLines/>
      </w:pPr>
      <w:r>
        <w:rPr>
          <w:b w:val="0"/>
        </w:rPr>
        <w:t>Ficha de trabalho para mapear um serviço</w:t>
      </w:r>
    </w:p>
    <w:p>
      <w:pPr>
        <w:keepLines/>
      </w:pPr>
      <w:r>
        <w:rPr>
          <w:b w:val="0"/>
        </w:rPr>
        <w:t>Utilizar uma ficha por serviço. Não registrar nomes de usuárias ou detalhes de situações atendidas. O preenchimento complementa a matriz de mapeamento apresentada no bloco 2.</w:t>
      </w:r>
    </w:p>
    <w:p>
      <w:pPr>
        <w:keepLines/>
      </w:pPr>
      <w:r>
        <w:rPr>
          <w:b/>
        </w:rPr>
        <w:t>Município e serviço:</w:t>
      </w:r>
      <w:r>
        <w:t xml:space="preserve"> _____________________________________________________</w:t>
      </w:r>
    </w:p>
    <w:p>
      <w:pPr>
        <w:keepLines/>
      </w:pPr>
      <w:r>
        <w:rPr>
          <w:b/>
        </w:rPr>
        <w:t>Oferta efetiva e público atendido:</w:t>
      </w:r>
      <w:r>
        <w:t xml:space="preserve"> __________________________________________</w:t>
      </w:r>
    </w:p>
    <w:p>
      <w:pPr>
        <w:keepLines/>
      </w:pPr>
      <w:r>
        <w:rPr>
          <w:b/>
        </w:rPr>
        <w:t>Abrangência e forma de acesso:</w:t>
      </w:r>
      <w:r>
        <w:t xml:space="preserve"> ____________________________________________</w:t>
      </w:r>
    </w:p>
    <w:p>
      <w:pPr>
        <w:keepLines/>
      </w:pPr>
      <w:r>
        <w:rPr>
          <w:b/>
        </w:rPr>
        <w:t>Funcionamento e alternativa fora do expediente:</w:t>
      </w:r>
      <w:r>
        <w:t xml:space="preserve"> _____________________________</w:t>
      </w:r>
    </w:p>
    <w:p>
      <w:pPr>
        <w:keepLines/>
      </w:pPr>
      <w:r>
        <w:rPr>
          <w:b/>
        </w:rPr>
        <w:t>Canal institucional e ponto focal:</w:t>
      </w:r>
      <w:r>
        <w:t xml:space="preserve"> ___________________________________________</w:t>
      </w:r>
    </w:p>
    <w:p>
      <w:pPr>
        <w:keepLines/>
      </w:pPr>
      <w:r>
        <w:rPr>
          <w:b/>
        </w:rPr>
        <w:t>Acessibilidade, transporte e cuidado com dependentes:</w:t>
      </w:r>
      <w:r>
        <w:t xml:space="preserve"> ________________________</w:t>
      </w:r>
    </w:p>
    <w:p>
      <w:pPr>
        <w:keepLines/>
      </w:pPr>
      <w:r>
        <w:rPr>
          <w:b/>
        </w:rPr>
        <w:t>Forma de confirmação e contrarreferência:</w:t>
      </w:r>
      <w:r>
        <w:t xml:space="preserve"> ___________________________________</w:t>
      </w:r>
    </w:p>
    <w:p>
      <w:pPr>
        <w:keepLines/>
      </w:pPr>
      <w:r>
        <w:rPr>
          <w:b/>
        </w:rPr>
        <w:t>Fonte, data da conferência e responsável:</w:t>
      </w:r>
      <w:r>
        <w:t xml:space="preserve"> ____________________________________</w:t>
      </w:r>
    </w:p>
    <w:p>
      <w:pPr>
        <w:keepLines/>
      </w:pPr>
      <w:r>
        <w:rPr>
          <w:b/>
        </w:rPr>
        <w:t>Informações ainda a validar:</w:t>
      </w:r>
      <w:r>
        <w:t xml:space="preserve"> _______________________________________________</w:t>
      </w:r>
    </w:p>
    <w:p>
      <w:pPr>
        <w:pStyle w:val="Heading2"/>
        <w:keepLines/>
      </w:pPr>
      <w:r>
        <w:rPr>
          <w:b w:val="0"/>
        </w:rPr>
        <w:t>Registro pedagógico de articulação e retorno</w:t>
      </w:r>
    </w:p>
    <w:p>
      <w:pPr>
        <w:keepLines/>
      </w:pPr>
      <w:r>
        <w:rPr>
          <w:b w:val="0"/>
        </w:rPr>
        <w:t>Modelo para testar o fluxo com o caso fictício; não substitui instrumentos oficiais de prontuário ou comunicação. No uso institucional, os campos e as regras de guarda devem ser definidos pelos serviços competentes.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7648"/>
      </w:tblGrid>
      <w:tr>
        <w:trPr>
          <w:cantSplit/>
          <w:tblHeader/>
        </w:trPr>
        <w:tc>
          <w:tcPr>
            <w:tcW w:type="dxa" w:w="2551"/>
            <w:vAlign w:val="center"/>
            <w:shd w:fill="5B1738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/>
                <w:color w:val="FFFFFF"/>
                <w:sz w:val="18"/>
              </w:rPr>
              <w:t>Momento</w:t>
            </w:r>
          </w:p>
        </w:tc>
        <w:tc>
          <w:tcPr>
            <w:tcW w:type="dxa" w:w="7648"/>
            <w:vAlign w:val="center"/>
            <w:shd w:fill="5B1738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/>
                <w:color w:val="FFFFFF"/>
                <w:sz w:val="18"/>
              </w:rPr>
              <w:t>Elementos necessários ao exercício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Solicitação</w:t>
            </w:r>
          </w:p>
        </w:tc>
        <w:tc>
          <w:tcPr>
            <w:tcW w:type="dxa" w:w="764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Serviço de origem e destino; necessidade e finalidade; urgência identificada; providências realizadas; condições de acesso; canal institucional de retorno.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Recebimento</w:t>
            </w:r>
          </w:p>
        </w:tc>
        <w:tc>
          <w:tcPr>
            <w:tcW w:type="dxa" w:w="7648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Data e responsável; possibilidade de atendimento; informações estritamente necessárias ainda pendentes; alternativa em caso de indisponibilidade.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Contrarreferência</w:t>
            </w:r>
          </w:p>
        </w:tc>
        <w:tc>
          <w:tcPr>
            <w:tcW w:type="dxa" w:w="764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Atendimento realizado ou previsto; necessidades ainda não atendidas; divisão de responsabilidades; próximo passo e forma de acompanhamento.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Reavaliação</w:t>
            </w:r>
          </w:p>
        </w:tc>
        <w:tc>
          <w:tcPr>
            <w:tcW w:type="dxa" w:w="7648"/>
            <w:vAlign w:val="center"/>
            <w:shd w:fill="F7F0E7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FD0CA"/>
              <w:left w:val="single" w:sz="4" w:color="DFD0CA"/>
              <w:bottom w:val="single" w:sz="4" w:color="DFD0CA"/>
              <w:right w:val="single" w:sz="4" w:color="DFD0CA"/>
            </w:tcBorders>
          </w:tcPr>
          <w:p>
            <w:pPr>
              <w:spacing w:after="40" w:before="40" w:line="252" w:lineRule="auto"/>
            </w:pPr>
            <w:r>
              <w:rPr>
                <w:b w:val="0"/>
                <w:color w:val="28131D"/>
                <w:sz w:val="18"/>
              </w:rPr>
              <w:t>Acesso efetivamente ocorrido; barreiras persistentes; mudanças da situação; necessidade de novo acionamento e revisão do plano.</w:t>
            </w:r>
          </w:p>
        </w:tc>
      </w:tr>
    </w:tbl>
    <w:p>
      <w:pPr>
        <w:keepLines/>
        <w:spacing w:after="0"/>
      </w:pPr>
    </w:p>
    <w:p>
      <w:pPr>
        <w:keepLines/>
      </w:pPr>
      <w:r>
        <w:rPr>
          <w:b w:val="0"/>
        </w:rPr>
        <w:t>O compromisso final é tornar verificável a continuidade: quem acolheu, quem assumiu cada resposta, se a mulher conseguiu acessar o atendimento e o que ainda exige ação. Esse registro alimentará a pactuação posterior e a socialização de boas práticas prevista no encerramento do programa.</w:t>
      </w:r>
    </w:p>
    <w:p>
      <w:pPr>
        <w:pStyle w:val="Heading2"/>
        <w:keepLines/>
      </w:pPr>
      <w:r>
        <w:rPr>
          <w:b w:val="0"/>
        </w:rPr>
        <w:t>Referências e materiais de consulta</w:t>
      </w:r>
    </w:p>
    <w:p>
      <w:pPr>
        <w:keepLines/>
      </w:pPr>
      <w:r>
        <w:rPr>
          <w:b w:val="0"/>
        </w:rPr>
        <w:t>Base pedagógica: Proposta Pedagógica Rede Preparada Mulher Segura, COMESP, Módulo IV, e conteúdo do hub. As fontes oficiais abaixo fundamentam as funções dos serviços e as referências territoriais. Consulta em 16/09/2026; confirmar informações operacionais antes de utilizá-las em encaminhamentos.</w:t>
      </w:r>
    </w:p>
    <w:p>
      <w:pPr>
        <w:keepLines/>
      </w:pPr>
      <w:hyperlink r:id="rId14">
        <w:r>
          <w:rPr>
            <w:color w:val="5B1738"/>
            <w:u w:val="single"/>
          </w:rPr>
          <w:t>Documento de referência · Secretaria de Políticas para as Mulheres ↗</w:t>
        </w:r>
      </w:hyperlink>
    </w:p>
    <w:p>
      <w:pPr>
        <w:keepLines/>
      </w:pPr>
      <w:hyperlink r:id="rId15">
        <w:r>
          <w:rPr>
            <w:color w:val="5B1738"/>
            <w:u w:val="single"/>
          </w:rPr>
          <w:t>Lei Maria da Penha — arts. 8º e 9º</w:t>
        </w:r>
      </w:hyperlink>
    </w:p>
    <w:p>
      <w:pPr>
        <w:keepLines/>
      </w:pPr>
      <w:hyperlink r:id="rId16">
        <w:r>
          <w:rPr>
            <w:color w:val="5B1738"/>
            <w:u w:val="single"/>
          </w:rPr>
          <w:t>Lei nº 14.899/2024 — planejamento e articulação das redes</w:t>
        </w:r>
      </w:hyperlink>
    </w:p>
    <w:p>
      <w:pPr>
        <w:keepLines/>
      </w:pPr>
      <w:hyperlink r:id="rId17">
        <w:r>
          <w:rPr>
            <w:color w:val="5B1738"/>
            <w:u w:val="single"/>
          </w:rPr>
          <w:t>MDS — acesso ao CREAS</w:t>
        </w:r>
      </w:hyperlink>
    </w:p>
    <w:p>
      <w:pPr>
        <w:keepLines/>
      </w:pPr>
      <w:hyperlink r:id="rId18">
        <w:r>
          <w:rPr>
            <w:color w:val="5B1738"/>
            <w:u w:val="single"/>
          </w:rPr>
          <w:t>Resolução CNAS nº 109/2009 — Tipificação Nacional dos Serviços Socioassistenciais</w:t>
        </w:r>
      </w:hyperlink>
    </w:p>
    <w:p>
      <w:pPr>
        <w:keepLines/>
      </w:pPr>
      <w:hyperlink r:id="rId19">
        <w:r>
          <w:rPr>
            <w:color w:val="5B1738"/>
            <w:u w:val="single"/>
          </w:rPr>
          <w:t>SEMIPI Paraná — função dos centros de referência de atendimento à mulher</w:t>
        </w:r>
      </w:hyperlink>
    </w:p>
    <w:p>
      <w:pPr>
        <w:keepLines/>
      </w:pPr>
      <w:hyperlink r:id="rId20">
        <w:r>
          <w:rPr>
            <w:color w:val="5B1738"/>
            <w:u w:val="single"/>
          </w:rPr>
          <w:t>Ministério da Saúde — Guia prático de cuidado à mulher em situação de violência</w:t>
        </w:r>
      </w:hyperlink>
    </w:p>
    <w:p>
      <w:pPr>
        <w:keepLines/>
      </w:pPr>
      <w:hyperlink r:id="rId21">
        <w:r>
          <w:rPr>
            <w:color w:val="5B1738"/>
            <w:u w:val="single"/>
          </w:rPr>
          <w:t>Lei nº 12.845/2013 — atendimento integral em violência sexual</w:t>
        </w:r>
      </w:hyperlink>
    </w:p>
    <w:p>
      <w:pPr>
        <w:keepLines/>
      </w:pPr>
      <w:hyperlink r:id="rId22">
        <w:r>
          <w:rPr>
            <w:color w:val="5B1738"/>
            <w:u w:val="single"/>
          </w:rPr>
          <w:t>Curitiba — publicação de 18/06/2026</w:t>
        </w:r>
      </w:hyperlink>
    </w:p>
    <w:p>
      <w:pPr>
        <w:keepLines/>
      </w:pPr>
      <w:hyperlink r:id="rId23">
        <w:r>
          <w:rPr>
            <w:color w:val="5B1738"/>
            <w:u w:val="single"/>
          </w:rPr>
          <w:t>Pinhais — publicação de 07/08/2026</w:t>
        </w:r>
      </w:hyperlink>
    </w:p>
    <w:p>
      <w:pPr>
        <w:keepLines/>
      </w:pPr>
      <w:hyperlink r:id="rId24">
        <w:r>
          <w:rPr>
            <w:color w:val="5B1738"/>
            <w:u w:val="single"/>
          </w:rPr>
          <w:t>São José dos Pinhais — publicação de 01/08/2025</w:t>
        </w:r>
      </w:hyperlink>
    </w:p>
    <w:p>
      <w:pPr>
        <w:keepLines/>
      </w:pPr>
      <w:hyperlink r:id="rId25">
        <w:r>
          <w:rPr>
            <w:color w:val="5B1738"/>
            <w:u w:val="single"/>
          </w:rPr>
          <w:t>SESA — relação de referências por Região de Saúde</w:t>
        </w:r>
      </w:hyperlink>
    </w:p>
    <w:p>
      <w:pPr>
        <w:keepLines/>
      </w:pPr>
      <w:hyperlink r:id="rId26">
        <w:r>
          <w:rPr>
            <w:color w:val="5B1738"/>
            <w:u w:val="single"/>
          </w:rPr>
          <w:t>SESA — página de atenção às pessoas em situação de violência e referências</w:t>
        </w:r>
      </w:hyperlink>
    </w:p>
    <w:p>
      <w:pPr>
        <w:keepLines/>
      </w:pPr>
      <w:hyperlink r:id="rId27">
        <w:r>
          <w:rPr>
            <w:color w:val="5B1738"/>
            <w:u w:val="single"/>
          </w:rPr>
          <w:t>PCPR — orientação e acesso aos serviços policiais</w:t>
        </w:r>
      </w:hyperlink>
    </w:p>
    <w:p>
      <w:pPr>
        <w:keepLines/>
      </w:pPr>
      <w:hyperlink r:id="rId28">
        <w:r>
          <w:rPr>
            <w:color w:val="5B1738"/>
            <w:u w:val="single"/>
          </w:rPr>
          <w:t>Base territorial utilizada no hub</w:t>
        </w:r>
      </w:hyperlink>
    </w:p>
    <w:p>
      <w:pPr>
        <w:keepLines/>
      </w:pPr>
      <w:hyperlink r:id="rId29">
        <w:r>
          <w:rPr>
            <w:color w:val="5B1738"/>
            <w:u w:val="single"/>
          </w:rPr>
          <w:t>IPARDES — Mulheres do Paraná</w:t>
        </w:r>
      </w:hyperlink>
    </w:p>
    <w:p>
      <w:pPr>
        <w:keepLines/>
      </w:pPr>
      <w:hyperlink r:id="rId30">
        <w:r>
          <w:rPr>
            <w:color w:val="5B1738"/>
            <w:u w:val="single"/>
          </w:rPr>
          <w:t>Lei nº 13.431/2017 — proteção de crianças e adolescentes vítimas ou testemunhas de violência</w:t>
        </w:r>
      </w:hyperlink>
    </w:p>
    <w:p>
      <w:pPr>
        <w:keepLines/>
      </w:pPr>
      <w:hyperlink r:id="rId31">
        <w:r>
          <w:rPr>
            <w:color w:val="5B1738"/>
            <w:u w:val="single"/>
          </w:rPr>
          <w:t>LGPD — princípios, bases legais e tratamento de dados sensíveis</w:t>
        </w:r>
      </w:hyperlink>
    </w:p>
    <w:p>
      <w:pPr>
        <w:keepLines/>
      </w:pPr>
      <w:hyperlink r:id="rId33">
        <w:r>
          <w:rPr>
            <w:color w:val="5B1738"/>
            <w:u w:val="single"/>
          </w:rPr>
          <w:t>Ligue 180 — finalidade e funcionamento</w:t>
        </w:r>
      </w:hyperlink>
    </w:p>
    <w:p>
      <w:pPr>
        <w:keepLines/>
      </w:pPr>
      <w:hyperlink r:id="rId34">
        <w:r>
          <w:rPr>
            <w:color w:val="5B1738"/>
            <w:u w:val="single"/>
          </w:rPr>
          <w:t>SESA — acesso à atenção e urgência em saúde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935" w:right="1020" w:bottom="935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MÓDULO IV   ·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B1738"/>
        <w:sz w:val="16"/>
      </w:rPr>
      <w:t>MULHER SEGURA   /   COMESP · REDE PREPARADA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80"/>
    </w:pPr>
    <w:rPr>
      <w:rFonts w:ascii="Arial" w:hAnsi="Arial"/>
      <w:color w:val="2813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80"/>
      <w:outlineLvl w:val="0"/>
    </w:pPr>
    <w:rPr>
      <w:rFonts w:ascii="DejaVu Serif" w:hAnsi="DejaVu Serif" w:eastAsia="DejaVu Serif" w:cs="DejaVu Serif"/>
      <w:b w:val="0"/>
      <w:bCs/>
      <w:color w:val="5B1738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80"/>
      <w:outlineLvl w:val="1"/>
    </w:pPr>
    <w:rPr>
      <w:rFonts w:ascii="DejaVu Serif" w:hAnsi="DejaVu Serif" w:eastAsia="DejaVu Serif" w:cs="DejaVu Serif"/>
      <w:b w:val="0"/>
      <w:bCs/>
      <w:color w:val="5B1738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80" w:line="240" w:lineRule="auto" w:before="280"/>
      <w:contextualSpacing/>
    </w:pPr>
    <w:rPr>
      <w:rFonts w:ascii="DejaVu Serif" w:hAnsi="DejaVu Serif" w:eastAsia="DejaVu Serif" w:cs="DejaVu Serif"/>
      <w:b w:val="0"/>
      <w:color w:val="5B1738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80" w:line="269" w:lineRule="auto"/>
    </w:pPr>
    <w:rPr>
      <w:rFonts w:ascii="Arial" w:hAnsi="Arial"/>
      <w:color w:val="28131D"/>
      <w:sz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69" w:lineRule="auto" w:after="80"/>
      <w:contextualSpacing/>
    </w:pPr>
    <w:rPr>
      <w:rFonts w:ascii="Arial" w:hAnsi="Arial"/>
      <w:color w:val="28131D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69" w:lineRule="auto" w:after="80"/>
      <w:contextualSpacing/>
    </w:pPr>
    <w:rPr>
      <w:rFonts w:ascii="Arial" w:hAnsi="Arial"/>
      <w:color w:val="28131D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mulher-segura.camolezimonica.chatgpt.site/#mapa-rede" TargetMode="External"/><Relationship Id="rId12" Type="http://schemas.openxmlformats.org/officeDocument/2006/relationships/hyperlink" Target="https://mulher-segura.camolezimonica.chatgpt.site/#oficina-4" TargetMode="External"/><Relationship Id="rId13" Type="http://schemas.openxmlformats.org/officeDocument/2006/relationships/hyperlink" Target="https://mulher-segura.camolezimonica.chatgpt.site/#modulo-3" TargetMode="External"/><Relationship Id="rId14" Type="http://schemas.openxmlformats.org/officeDocument/2006/relationships/hyperlink" Target="https://www12.senado.leg.br/institucional/omv/copy_of_acervo/outras-referencias/copy2_of_entenda-a-violencia/pdfs/rede-de-enfrentamento-a-violencia-contra-as-mulheres" TargetMode="External"/><Relationship Id="rId15" Type="http://schemas.openxmlformats.org/officeDocument/2006/relationships/hyperlink" Target="https://www.planalto.gov.br/ccivil_03/_ato2004-2006/2006/lei/l11340.htm" TargetMode="External"/><Relationship Id="rId16" Type="http://schemas.openxmlformats.org/officeDocument/2006/relationships/hyperlink" Target="https://www.planalto.gov.br/ccivil_03/_ato2023-2026/2024/lei/l14899.htm" TargetMode="External"/><Relationship Id="rId17" Type="http://schemas.openxmlformats.org/officeDocument/2006/relationships/hyperlink" Target="https://www.gov.br/pt-br/servicos/acessar-creas-centro-de-referencia-especializado-em-assistencia-social" TargetMode="External"/><Relationship Id="rId18" Type="http://schemas.openxmlformats.org/officeDocument/2006/relationships/hyperlink" Target="https://www.mds.gov.br/webarquivos/public/resolucao_CNAS_N109_%202009.pdf" TargetMode="External"/><Relationship Id="rId19" Type="http://schemas.openxmlformats.org/officeDocument/2006/relationships/hyperlink" Target="https://www.semipi.pr.gov.br/Pagina/Centro-de-Referencia-de-Atendimento-Mulher-CRAM" TargetMode="External"/><Relationship Id="rId20" Type="http://schemas.openxmlformats.org/officeDocument/2006/relationships/hyperlink" Target="https://www.gov.br/saude/pt-br/centrais-de-conteudo/publicacoes/guias-e-manuais/2025/guia-pratico-de-cuidado-a-mulher-em-situacao-de-violencia.pdf" TargetMode="External"/><Relationship Id="rId21" Type="http://schemas.openxmlformats.org/officeDocument/2006/relationships/hyperlink" Target="https://www.planalto.gov.br/ccivil_03/_ato2011-2014/2013/lei/l12845.htm" TargetMode="External"/><Relationship Id="rId22" Type="http://schemas.openxmlformats.org/officeDocument/2006/relationships/hyperlink" Target="https://www.curitiba.pr.gov.br/noticias/casa-da-mulher-brasileira-completa-dez-anos-como-referencia-no-acolhimento-e-protecao-de-mulheres-em-curitiba/83645" TargetMode="External"/><Relationship Id="rId23" Type="http://schemas.openxmlformats.org/officeDocument/2006/relationships/hyperlink" Target="https://atendenet.pinhais.pr.gov.br/cidadao/noticia/lei-maria-da-penha-20-anos-pinhais-reforca-acoes-de-conscientizacao-e-celebra-5-anos-do-centro-de-referencia" TargetMode="External"/><Relationship Id="rId24" Type="http://schemas.openxmlformats.org/officeDocument/2006/relationships/hyperlink" Target="https://www.sjp.pr.gov.br/agosto-lilas-sao-jose-dos-pinhais-realiza-acoes-de-combate-a-violencia-contra-a-mulher/" TargetMode="External"/><Relationship Id="rId25" Type="http://schemas.openxmlformats.org/officeDocument/2006/relationships/hyperlink" Target="https://www.documentador.pr.gov.br/documentador/pub.do?action=d&amp;uuid=%40gtf-escriba-sesa%40f3986f0c-4086-4f11-b607-22db5c90b460" TargetMode="External"/><Relationship Id="rId26" Type="http://schemas.openxmlformats.org/officeDocument/2006/relationships/hyperlink" Target="https://www.saude.pr.gov.br/Pagina/Atencao-Pessoas-em-Situacao-de-Violencia" TargetMode="External"/><Relationship Id="rId27" Type="http://schemas.openxmlformats.org/officeDocument/2006/relationships/hyperlink" Target="https://www.policiacivil.pr.gov.br/mulher" TargetMode="External"/><Relationship Id="rId28" Type="http://schemas.openxmlformats.org/officeDocument/2006/relationships/hyperlink" Target="https://mulher-segura.camolezimonica.chatgpt.site/materiais/base/Base_Mestra_Indicadores_Mulher_Segura_COMESP.xlsx" TargetMode="External"/><Relationship Id="rId29" Type="http://schemas.openxmlformats.org/officeDocument/2006/relationships/hyperlink" Target="https://www.ipardes.pr.gov.br/Pagina/Mulheres-do-Parana" TargetMode="External"/><Relationship Id="rId30" Type="http://schemas.openxmlformats.org/officeDocument/2006/relationships/hyperlink" Target="https://www.planalto.gov.br/ccivil_03/_ato2015-2018/2017/lei/l13431.htm" TargetMode="External"/><Relationship Id="rId31" Type="http://schemas.openxmlformats.org/officeDocument/2006/relationships/hyperlink" Target="https://www.planalto.gov.br/ccivil_03/_ato2015-2018/2018/lei/l13709.htm" TargetMode="External"/><Relationship Id="rId32" Type="http://schemas.openxmlformats.org/officeDocument/2006/relationships/image" Target="media/image1.png"/><Relationship Id="rId33" Type="http://schemas.openxmlformats.org/officeDocument/2006/relationships/hyperlink" Target="https://www.gov.br/mulheres/pt-br/ligue180" TargetMode="External"/><Relationship Id="rId34" Type="http://schemas.openxmlformats.org/officeDocument/2006/relationships/hyperlink" Target="https://www.saude.pr.gov.br/Pagina/Atencao-Saude-das-Pessoas-em-Situacao-de-Violencia" TargetMode="External"/><Relationship Id="rId35" Type="http://schemas.openxmlformats.org/officeDocument/2006/relationships/hyperlink" Target="https://mulher-segura.camolezimonica.chatgpt.site/#facilitacao" TargetMode="External"/><Relationship Id="rId36" Type="http://schemas.openxmlformats.org/officeDocument/2006/relationships/hyperlink" Target="https://mulher-segura.camolezimonica.chatgpt.site/#base" TargetMode="External"/><Relationship Id="rId37" Type="http://schemas.openxmlformats.org/officeDocument/2006/relationships/hyperlink" Target="https://mulher-segura.camolezimonica.chatgpt.site/#inici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Módulo IV — Organizar a rede, sustentar a proteção</dc:title>
  <dc:subject>Rede Preparada Mulher Segura — Apostila do módulo IV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